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96" w:rsidRPr="00260B54" w:rsidRDefault="00837796" w:rsidP="00260B54">
      <w:pPr>
        <w:spacing w:line="360" w:lineRule="auto"/>
        <w:jc w:val="both"/>
        <w:rPr>
          <w:rFonts w:ascii="Verdana" w:hAnsi="Verdana" w:cs="Times New Roman"/>
          <w:b/>
          <w:sz w:val="20"/>
          <w:szCs w:val="20"/>
        </w:rPr>
      </w:pPr>
      <w:r>
        <w:rPr>
          <w:rFonts w:ascii="Verdana" w:hAnsi="Verdana" w:cs="Times New Roman"/>
          <w:b/>
          <w:sz w:val="20"/>
          <w:szCs w:val="20"/>
        </w:rPr>
        <w:t>La actividad física</w:t>
      </w:r>
      <w:r w:rsidRPr="00260B54">
        <w:rPr>
          <w:rFonts w:ascii="Verdana" w:hAnsi="Verdana" w:cs="Times New Roman"/>
          <w:b/>
          <w:sz w:val="20"/>
          <w:szCs w:val="20"/>
        </w:rPr>
        <w:t xml:space="preserve"> en el adulto mayor con Enfermedades Crónicas No Transmisibles.</w:t>
      </w:r>
    </w:p>
    <w:p w:rsidR="00837796" w:rsidRPr="00260B54" w:rsidRDefault="00837796" w:rsidP="00260B54">
      <w:pPr>
        <w:spacing w:line="360" w:lineRule="auto"/>
        <w:jc w:val="both"/>
        <w:rPr>
          <w:rFonts w:ascii="Verdana" w:hAnsi="Verdana" w:cs="Times New Roman"/>
          <w:b/>
          <w:sz w:val="20"/>
          <w:szCs w:val="20"/>
          <w:lang w:val="en-US"/>
        </w:rPr>
      </w:pPr>
      <w:r w:rsidRPr="00260B54">
        <w:rPr>
          <w:rFonts w:ascii="Verdana" w:hAnsi="Verdana" w:cs="Times New Roman"/>
          <w:b/>
          <w:sz w:val="20"/>
          <w:szCs w:val="20"/>
          <w:lang w:val="en-US"/>
        </w:rPr>
        <w:t xml:space="preserve">Physical </w:t>
      </w:r>
      <w:r>
        <w:rPr>
          <w:rFonts w:ascii="Verdana" w:hAnsi="Verdana" w:cs="Times New Roman"/>
          <w:b/>
          <w:sz w:val="20"/>
          <w:szCs w:val="20"/>
          <w:lang w:val="en-US"/>
        </w:rPr>
        <w:t>activity</w:t>
      </w:r>
      <w:r w:rsidRPr="00260B54">
        <w:rPr>
          <w:rFonts w:ascii="Verdana" w:hAnsi="Verdana" w:cs="Times New Roman"/>
          <w:b/>
          <w:sz w:val="20"/>
          <w:szCs w:val="20"/>
          <w:lang w:val="en-US"/>
        </w:rPr>
        <w:t xml:space="preserve"> in the elderly with Chronic Noncommunicable Diseases.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Bárbara Yumila</w:t>
      </w:r>
      <w:r w:rsidR="00D159FC">
        <w:rPr>
          <w:rFonts w:ascii="Verdana" w:hAnsi="Verdana" w:cs="Times New Roman"/>
          <w:sz w:val="20"/>
          <w:szCs w:val="20"/>
        </w:rPr>
        <w:t xml:space="preserve"> </w:t>
      </w:r>
      <w:r w:rsidRPr="00260B54">
        <w:rPr>
          <w:rFonts w:ascii="Verdana" w:hAnsi="Verdana" w:cs="Times New Roman"/>
          <w:sz w:val="20"/>
          <w:szCs w:val="20"/>
        </w:rPr>
        <w:t>Noa Pelier</w:t>
      </w:r>
      <w:r w:rsidRPr="00260B54">
        <w:rPr>
          <w:rFonts w:ascii="Verdana" w:hAnsi="Verdana" w:cs="Times New Roman"/>
          <w:sz w:val="20"/>
          <w:szCs w:val="20"/>
          <w:vertAlign w:val="superscript"/>
        </w:rPr>
        <w:t>1</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Jorge Lázaro Coll Costa</w:t>
      </w:r>
      <w:r w:rsidRPr="00260B54">
        <w:rPr>
          <w:rFonts w:ascii="Verdana" w:hAnsi="Verdana" w:cs="Times New Roman"/>
          <w:sz w:val="20"/>
          <w:szCs w:val="20"/>
          <w:vertAlign w:val="superscript"/>
        </w:rPr>
        <w:t>2</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vertAlign w:val="superscript"/>
        </w:rPr>
        <w:t>1</w:t>
      </w:r>
      <w:r w:rsidRPr="00260B54">
        <w:rPr>
          <w:rFonts w:ascii="Verdana" w:hAnsi="Verdana" w:cs="Times New Roman"/>
          <w:sz w:val="20"/>
          <w:szCs w:val="20"/>
        </w:rPr>
        <w:t xml:space="preserve"> Especialista en 1er Grado de Medicina Física y Rehabilitación. Máster en Cultura Física Terapéutica. Profesor Instructor. Investigador Agregado.Centro Internacional de Restauración Neurológica. La Habana, Cuba.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vertAlign w:val="superscript"/>
        </w:rPr>
        <w:t>2</w:t>
      </w:r>
      <w:r w:rsidRPr="00260B54">
        <w:rPr>
          <w:rFonts w:ascii="Verdana" w:hAnsi="Verdana" w:cs="Times New Roman"/>
          <w:sz w:val="20"/>
          <w:szCs w:val="20"/>
        </w:rPr>
        <w:t>DrC. Cultura Física. Profesor Titular. Universidad de las Ciencias de la Cultura Física y el Deporte “Manuel Fajardo”. La Habana, Cuba.</w:t>
      </w:r>
    </w:p>
    <w:p w:rsidR="00837796" w:rsidRPr="00260B54" w:rsidRDefault="00837796" w:rsidP="00260B54">
      <w:pPr>
        <w:spacing w:line="360" w:lineRule="auto"/>
        <w:jc w:val="both"/>
        <w:rPr>
          <w:rFonts w:ascii="Verdana" w:hAnsi="Verdana" w:cs="Times New Roman"/>
          <w:b/>
          <w:sz w:val="20"/>
          <w:szCs w:val="20"/>
        </w:rPr>
      </w:pPr>
      <w:r w:rsidRPr="00260B54">
        <w:rPr>
          <w:rFonts w:ascii="Verdana" w:hAnsi="Verdana" w:cs="Times New Roman"/>
          <w:b/>
          <w:sz w:val="20"/>
          <w:szCs w:val="20"/>
        </w:rPr>
        <w:t>RESUMEN</w:t>
      </w:r>
    </w:p>
    <w:p w:rsidR="00837796" w:rsidRPr="001D500E" w:rsidRDefault="0000199B" w:rsidP="00260B54">
      <w:pPr>
        <w:spacing w:line="360" w:lineRule="auto"/>
        <w:jc w:val="both"/>
        <w:rPr>
          <w:rFonts w:ascii="Verdana" w:hAnsi="Verdana" w:cs="Times New Roman"/>
          <w:sz w:val="20"/>
          <w:szCs w:val="20"/>
        </w:rPr>
      </w:pPr>
      <w:r w:rsidRPr="001D500E">
        <w:rPr>
          <w:rFonts w:ascii="Verdana" w:hAnsi="Verdana" w:cs="Times New Roman"/>
          <w:b/>
          <w:sz w:val="20"/>
          <w:szCs w:val="20"/>
        </w:rPr>
        <w:t>Introducción:</w:t>
      </w:r>
      <w:r w:rsidRPr="001D500E">
        <w:rPr>
          <w:rFonts w:ascii="Verdana" w:hAnsi="Verdana" w:cs="Times New Roman"/>
          <w:sz w:val="20"/>
          <w:szCs w:val="20"/>
        </w:rPr>
        <w:t xml:space="preserve"> A</w:t>
      </w:r>
      <w:r w:rsidR="00837796" w:rsidRPr="001D500E">
        <w:rPr>
          <w:rFonts w:ascii="Verdana" w:hAnsi="Verdana" w:cs="Times New Roman"/>
          <w:sz w:val="20"/>
          <w:szCs w:val="20"/>
        </w:rPr>
        <w:t xml:space="preserve"> medida que la población envejece, aumenta la prevalencia de enfermedades crónicas y </w:t>
      </w:r>
      <w:proofErr w:type="spellStart"/>
      <w:r w:rsidR="00837796" w:rsidRPr="001D500E">
        <w:rPr>
          <w:rFonts w:ascii="Verdana" w:hAnsi="Verdana" w:cs="Times New Roman"/>
          <w:sz w:val="20"/>
          <w:szCs w:val="20"/>
        </w:rPr>
        <w:t>discapacitantes</w:t>
      </w:r>
      <w:proofErr w:type="spellEnd"/>
      <w:r w:rsidR="00837796" w:rsidRPr="001D500E">
        <w:rPr>
          <w:rFonts w:ascii="Verdana" w:hAnsi="Verdana" w:cs="Times New Roman"/>
          <w:sz w:val="20"/>
          <w:szCs w:val="20"/>
        </w:rPr>
        <w:t>.</w:t>
      </w:r>
      <w:r w:rsidR="00D159FC">
        <w:rPr>
          <w:rFonts w:ascii="Verdana" w:hAnsi="Verdana" w:cs="Times New Roman"/>
          <w:sz w:val="20"/>
          <w:szCs w:val="20"/>
        </w:rPr>
        <w:t xml:space="preserve"> </w:t>
      </w:r>
      <w:r w:rsidR="00837796" w:rsidRPr="001D500E">
        <w:rPr>
          <w:rFonts w:ascii="Verdana" w:hAnsi="Verdana" w:cs="Times New Roman"/>
          <w:sz w:val="20"/>
          <w:szCs w:val="20"/>
        </w:rPr>
        <w:t xml:space="preserve">Cuba es uno de los países más </w:t>
      </w:r>
      <w:r w:rsidR="00837796">
        <w:rPr>
          <w:rFonts w:ascii="Verdana" w:hAnsi="Verdana" w:cs="Times New Roman"/>
          <w:sz w:val="20"/>
          <w:szCs w:val="20"/>
        </w:rPr>
        <w:t xml:space="preserve">envejecidos de América Latina, </w:t>
      </w:r>
      <w:r w:rsidR="00837796" w:rsidRPr="001D500E">
        <w:rPr>
          <w:rFonts w:ascii="Verdana" w:hAnsi="Verdana" w:cs="Times New Roman"/>
          <w:sz w:val="20"/>
          <w:szCs w:val="20"/>
        </w:rPr>
        <w:t xml:space="preserve">está previsto sea hacia el 2050 uno de los más envejecidos del mundo.El costo de las enfermedades y su impacto en el estado funcional son mayores en los pacientes de edad avanzada que en las personas más jóvenes.La elevada prevalencia de múltiples Enfermedades no Transmisibles en adultos mayores es un importante desafío para los proveedores de servicios de salud.La actividad física de los adultos mayores como una forma de vida saludable tiene gran trascendencia en la sociedad, pues la práctica del ejercicio y el deporte promueve la prevención, el tratamiento y la rehabilitación de enfermedadesno transmisibles. </w:t>
      </w:r>
      <w:r w:rsidR="00837796" w:rsidRPr="001D500E">
        <w:rPr>
          <w:rFonts w:ascii="Verdana" w:hAnsi="Verdana" w:cs="Times New Roman"/>
          <w:b/>
          <w:sz w:val="20"/>
          <w:szCs w:val="20"/>
        </w:rPr>
        <w:t>Objetivo:</w:t>
      </w:r>
      <w:r w:rsidR="00837796" w:rsidRPr="001D500E">
        <w:rPr>
          <w:rFonts w:ascii="Verdana" w:hAnsi="Verdana" w:cs="Times New Roman"/>
          <w:sz w:val="20"/>
          <w:szCs w:val="20"/>
        </w:rPr>
        <w:t xml:space="preserve"> incrementar los conocimientos sobre la repercusión de los cambios del envejecimiento en la funcionabilidad del adulto mayor, que permita incidir en su bienestar desde la actividad física.</w:t>
      </w:r>
      <w:r w:rsidR="00D159FC">
        <w:rPr>
          <w:rFonts w:ascii="Verdana" w:hAnsi="Verdana" w:cs="Times New Roman"/>
          <w:sz w:val="20"/>
          <w:szCs w:val="20"/>
        </w:rPr>
        <w:t xml:space="preserve"> </w:t>
      </w:r>
      <w:r w:rsidR="00837796" w:rsidRPr="001D500E">
        <w:rPr>
          <w:rFonts w:ascii="Verdana" w:hAnsi="Verdana" w:cs="Times New Roman"/>
          <w:b/>
          <w:sz w:val="20"/>
          <w:szCs w:val="20"/>
        </w:rPr>
        <w:t>Métodos:</w:t>
      </w:r>
      <w:r w:rsidR="00D159FC">
        <w:rPr>
          <w:rFonts w:ascii="Verdana" w:hAnsi="Verdana" w:cs="Times New Roman"/>
          <w:b/>
          <w:sz w:val="20"/>
          <w:szCs w:val="20"/>
        </w:rPr>
        <w:t xml:space="preserve"> </w:t>
      </w:r>
      <w:r w:rsidR="00837796" w:rsidRPr="001D500E">
        <w:rPr>
          <w:rFonts w:ascii="Verdana" w:hAnsi="Verdana" w:cs="Times New Roman"/>
          <w:sz w:val="20"/>
          <w:szCs w:val="20"/>
        </w:rPr>
        <w:t xml:space="preserve">Se realizó una revisión bibliográfica mediante búsquedas electrónicas y en bibliotecas de revistas médicas nacionales y extranjeras indexadas en </w:t>
      </w:r>
      <w:proofErr w:type="spellStart"/>
      <w:r w:rsidR="00837796" w:rsidRPr="001D500E">
        <w:rPr>
          <w:rFonts w:ascii="Verdana" w:hAnsi="Verdana" w:cs="Times New Roman"/>
          <w:sz w:val="20"/>
          <w:szCs w:val="20"/>
        </w:rPr>
        <w:t>SciELO</w:t>
      </w:r>
      <w:proofErr w:type="spellEnd"/>
      <w:r w:rsidR="00837796" w:rsidRPr="001D500E">
        <w:rPr>
          <w:rFonts w:ascii="Verdana" w:hAnsi="Verdana" w:cs="Times New Roman"/>
          <w:sz w:val="20"/>
          <w:szCs w:val="20"/>
        </w:rPr>
        <w:t xml:space="preserve">, </w:t>
      </w:r>
      <w:proofErr w:type="spellStart"/>
      <w:r w:rsidR="00837796" w:rsidRPr="001D500E">
        <w:rPr>
          <w:rFonts w:ascii="Verdana" w:hAnsi="Verdana" w:cs="Times New Roman"/>
          <w:sz w:val="20"/>
          <w:szCs w:val="20"/>
        </w:rPr>
        <w:t>Imbiomed</w:t>
      </w:r>
      <w:proofErr w:type="spellEnd"/>
      <w:r w:rsidR="00837796" w:rsidRPr="001D500E">
        <w:rPr>
          <w:rFonts w:ascii="Verdana" w:hAnsi="Verdana" w:cs="Times New Roman"/>
          <w:sz w:val="20"/>
          <w:szCs w:val="20"/>
        </w:rPr>
        <w:t xml:space="preserve"> y </w:t>
      </w:r>
      <w:proofErr w:type="spellStart"/>
      <w:r w:rsidR="00837796" w:rsidRPr="001D500E">
        <w:rPr>
          <w:rFonts w:ascii="Verdana" w:hAnsi="Verdana" w:cs="Times New Roman"/>
          <w:sz w:val="20"/>
          <w:szCs w:val="20"/>
        </w:rPr>
        <w:t>Pubmed</w:t>
      </w:r>
      <w:proofErr w:type="spellEnd"/>
      <w:r w:rsidR="00837796" w:rsidRPr="001D500E">
        <w:rPr>
          <w:rFonts w:ascii="Verdana" w:hAnsi="Verdana" w:cs="Times New Roman"/>
          <w:sz w:val="20"/>
          <w:szCs w:val="20"/>
        </w:rPr>
        <w:t xml:space="preserve"> en un horizonte de 10 años en idioma español e inglés. Se consultaron tesis de terminación de estudios y libros de textos con información relacionada con envejecimiento poblacional y actividad física, actividad física y enfermedades no transmisibles.</w:t>
      </w:r>
      <w:r w:rsidR="00837796" w:rsidRPr="001D500E">
        <w:rPr>
          <w:rFonts w:ascii="Verdana" w:hAnsi="Verdana" w:cs="Times New Roman"/>
          <w:b/>
          <w:sz w:val="20"/>
          <w:szCs w:val="20"/>
        </w:rPr>
        <w:t xml:space="preserve"> Conclusiones:</w:t>
      </w:r>
      <w:r w:rsidR="00D159FC">
        <w:rPr>
          <w:rFonts w:ascii="Verdana" w:hAnsi="Verdana" w:cs="Times New Roman"/>
          <w:b/>
          <w:sz w:val="20"/>
          <w:szCs w:val="20"/>
        </w:rPr>
        <w:t xml:space="preserve"> </w:t>
      </w:r>
      <w:r w:rsidR="00837796" w:rsidRPr="001D500E">
        <w:rPr>
          <w:rFonts w:ascii="Verdana" w:hAnsi="Verdana" w:cs="Times New Roman"/>
          <w:sz w:val="20"/>
          <w:szCs w:val="20"/>
        </w:rPr>
        <w:t>La actividad física terapéutica es un acto profesional sanitario, que permite al individuoalcanzar la mayor capacidad funcional posible, para lograr su máxima autonomía, a los efectos de posibilitar su mayor integración a la sociedad.</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b/>
          <w:sz w:val="20"/>
          <w:szCs w:val="20"/>
        </w:rPr>
        <w:t>Palabras Claves:</w:t>
      </w:r>
      <w:r w:rsidRPr="00260B54">
        <w:rPr>
          <w:rFonts w:ascii="Verdana" w:hAnsi="Verdana" w:cs="Times New Roman"/>
          <w:sz w:val="20"/>
          <w:szCs w:val="20"/>
        </w:rPr>
        <w:t xml:space="preserve"> actividad física, adulto mayor, enfermedades no transmisibles.</w:t>
      </w:r>
    </w:p>
    <w:p w:rsidR="00837796" w:rsidRPr="00260B54" w:rsidRDefault="00837796" w:rsidP="00260B54">
      <w:pPr>
        <w:spacing w:line="360" w:lineRule="auto"/>
        <w:jc w:val="both"/>
        <w:rPr>
          <w:rFonts w:ascii="Verdana" w:hAnsi="Verdana" w:cs="Times New Roman"/>
          <w:b/>
          <w:sz w:val="20"/>
          <w:szCs w:val="20"/>
          <w:lang w:val="en-US"/>
        </w:rPr>
      </w:pPr>
      <w:r w:rsidRPr="00260B54">
        <w:rPr>
          <w:rFonts w:ascii="Verdana" w:hAnsi="Verdana" w:cs="Times New Roman"/>
          <w:b/>
          <w:sz w:val="20"/>
          <w:szCs w:val="20"/>
          <w:lang w:val="en-US"/>
        </w:rPr>
        <w:lastRenderedPageBreak/>
        <w:t>ABSTRACT</w:t>
      </w:r>
    </w:p>
    <w:p w:rsidR="00837796" w:rsidRPr="00260B54" w:rsidRDefault="00837796" w:rsidP="00260B54">
      <w:pPr>
        <w:spacing w:line="360" w:lineRule="auto"/>
        <w:jc w:val="both"/>
        <w:rPr>
          <w:rFonts w:ascii="Verdana" w:hAnsi="Verdana" w:cs="Times New Roman"/>
          <w:sz w:val="20"/>
          <w:szCs w:val="20"/>
          <w:lang w:val="en-US"/>
        </w:rPr>
      </w:pPr>
      <w:r w:rsidRPr="00260B54">
        <w:rPr>
          <w:rFonts w:ascii="Verdana" w:hAnsi="Verdana" w:cs="Times New Roman"/>
          <w:b/>
          <w:sz w:val="20"/>
          <w:szCs w:val="20"/>
          <w:lang w:val="en-US"/>
        </w:rPr>
        <w:t>Introduction:</w:t>
      </w:r>
      <w:r w:rsidRPr="00260B54">
        <w:rPr>
          <w:rFonts w:ascii="Verdana" w:hAnsi="Verdana" w:cs="Times New Roman"/>
          <w:sz w:val="20"/>
          <w:szCs w:val="20"/>
          <w:lang w:val="en-US"/>
        </w:rPr>
        <w:t xml:space="preserve"> As the population ages, the prevalence of chronic and disabling diseases increases. Cuba is one of the ol</w:t>
      </w:r>
      <w:r>
        <w:rPr>
          <w:rFonts w:ascii="Verdana" w:hAnsi="Verdana" w:cs="Times New Roman"/>
          <w:sz w:val="20"/>
          <w:szCs w:val="20"/>
          <w:lang w:val="en-US"/>
        </w:rPr>
        <w:t xml:space="preserve">dest countries in Latin America, </w:t>
      </w:r>
      <w:r w:rsidRPr="00260B54">
        <w:rPr>
          <w:rFonts w:ascii="Verdana" w:hAnsi="Verdana" w:cs="Times New Roman"/>
          <w:sz w:val="20"/>
          <w:szCs w:val="20"/>
          <w:lang w:val="en-US"/>
        </w:rPr>
        <w:t xml:space="preserve">is expected to be one of the oldest in the world by 2050. The cost of diseases and their impact on functional status are higher in elderly patients than in younger people. The high prevalence of multiple </w:t>
      </w:r>
      <w:r w:rsidRPr="001D500E">
        <w:rPr>
          <w:rFonts w:ascii="Verdana" w:hAnsi="Verdana" w:cs="Times New Roman"/>
          <w:sz w:val="20"/>
          <w:szCs w:val="20"/>
          <w:lang w:val="en-US"/>
        </w:rPr>
        <w:t>Chronic Noncommunicable Diseases</w:t>
      </w:r>
      <w:r w:rsidRPr="00260B54">
        <w:rPr>
          <w:rFonts w:ascii="Verdana" w:hAnsi="Verdana" w:cs="Times New Roman"/>
          <w:sz w:val="20"/>
          <w:szCs w:val="20"/>
          <w:lang w:val="en-US"/>
        </w:rPr>
        <w:t xml:space="preserve"> in older adults is a major challenge for health service providers. The physical activity of older adults as a healthy way of life has great significance in society, since the practice of exercise and sports promotes the prevention, treatment and rehabilitation of noncommunicable diseases. </w:t>
      </w:r>
      <w:r w:rsidRPr="00260B54">
        <w:rPr>
          <w:rFonts w:ascii="Verdana" w:hAnsi="Verdana" w:cs="Times New Roman"/>
          <w:b/>
          <w:sz w:val="20"/>
          <w:szCs w:val="20"/>
          <w:lang w:val="en-US"/>
        </w:rPr>
        <w:t>Objective:</w:t>
      </w:r>
      <w:r w:rsidRPr="00260B54">
        <w:rPr>
          <w:rFonts w:ascii="Verdana" w:hAnsi="Verdana" w:cs="Times New Roman"/>
          <w:sz w:val="20"/>
          <w:szCs w:val="20"/>
          <w:lang w:val="en-US"/>
        </w:rPr>
        <w:t xml:space="preserve"> to increase knowledge about the impact of aging changes on the functionality of the elderly, which can influence their well-being from physical activity</w:t>
      </w:r>
      <w:r w:rsidRPr="00260B54">
        <w:rPr>
          <w:rFonts w:ascii="Verdana" w:hAnsi="Verdana" w:cs="Times New Roman"/>
          <w:b/>
          <w:sz w:val="20"/>
          <w:szCs w:val="20"/>
          <w:lang w:val="en-US"/>
        </w:rPr>
        <w:t>. Methods:</w:t>
      </w:r>
      <w:r w:rsidRPr="00260B54">
        <w:rPr>
          <w:rFonts w:ascii="Verdana" w:hAnsi="Verdana" w:cs="Times New Roman"/>
          <w:sz w:val="20"/>
          <w:szCs w:val="20"/>
          <w:lang w:val="en-US"/>
        </w:rPr>
        <w:t xml:space="preserve"> A literature review was carried out through electronic searches and in libraries of national and foreign medical journals indexed in </w:t>
      </w:r>
      <w:proofErr w:type="spellStart"/>
      <w:r w:rsidRPr="00260B54">
        <w:rPr>
          <w:rFonts w:ascii="Verdana" w:hAnsi="Verdana" w:cs="Times New Roman"/>
          <w:sz w:val="20"/>
          <w:szCs w:val="20"/>
          <w:lang w:val="en-US"/>
        </w:rPr>
        <w:t>SciELO</w:t>
      </w:r>
      <w:proofErr w:type="spellEnd"/>
      <w:r w:rsidRPr="00260B54">
        <w:rPr>
          <w:rFonts w:ascii="Verdana" w:hAnsi="Verdana" w:cs="Times New Roman"/>
          <w:sz w:val="20"/>
          <w:szCs w:val="20"/>
          <w:lang w:val="en-US"/>
        </w:rPr>
        <w:t xml:space="preserve">, </w:t>
      </w:r>
      <w:proofErr w:type="spellStart"/>
      <w:r w:rsidRPr="00260B54">
        <w:rPr>
          <w:rFonts w:ascii="Verdana" w:hAnsi="Verdana" w:cs="Times New Roman"/>
          <w:sz w:val="20"/>
          <w:szCs w:val="20"/>
          <w:lang w:val="en-US"/>
        </w:rPr>
        <w:t>Imbiomed</w:t>
      </w:r>
      <w:proofErr w:type="spellEnd"/>
      <w:r w:rsidRPr="00260B54">
        <w:rPr>
          <w:rFonts w:ascii="Verdana" w:hAnsi="Verdana" w:cs="Times New Roman"/>
          <w:sz w:val="20"/>
          <w:szCs w:val="20"/>
          <w:lang w:val="en-US"/>
        </w:rPr>
        <w:t xml:space="preserve"> and </w:t>
      </w:r>
      <w:proofErr w:type="spellStart"/>
      <w:r w:rsidRPr="00260B54">
        <w:rPr>
          <w:rFonts w:ascii="Verdana" w:hAnsi="Verdana" w:cs="Times New Roman"/>
          <w:sz w:val="20"/>
          <w:szCs w:val="20"/>
          <w:lang w:val="en-US"/>
        </w:rPr>
        <w:t>Pubmed</w:t>
      </w:r>
      <w:proofErr w:type="spellEnd"/>
      <w:r w:rsidRPr="00260B54">
        <w:rPr>
          <w:rFonts w:ascii="Verdana" w:hAnsi="Verdana" w:cs="Times New Roman"/>
          <w:sz w:val="20"/>
          <w:szCs w:val="20"/>
          <w:lang w:val="en-US"/>
        </w:rPr>
        <w:t xml:space="preserve"> in a 10-year horizon in Spanish and English. Thesis on completion of studies and textbooks with information related to population aging and physical activity, physical activity and noncommunicable diseases were consulted. </w:t>
      </w:r>
      <w:r w:rsidRPr="00260B54">
        <w:rPr>
          <w:rFonts w:ascii="Verdana" w:hAnsi="Verdana" w:cs="Times New Roman"/>
          <w:b/>
          <w:sz w:val="20"/>
          <w:szCs w:val="20"/>
          <w:lang w:val="en-US"/>
        </w:rPr>
        <w:t>Conclusions:</w:t>
      </w:r>
      <w:r w:rsidRPr="00260B54">
        <w:rPr>
          <w:rFonts w:ascii="Verdana" w:hAnsi="Verdana" w:cs="Times New Roman"/>
          <w:sz w:val="20"/>
          <w:szCs w:val="20"/>
          <w:lang w:val="en-US"/>
        </w:rPr>
        <w:t xml:space="preserve"> Therapeutic physical activity is a professional health act, which allows the individual to achieve the greatest possible functional capacity, to achieve maximum autonomy, in order to enable their greater integration into society.</w:t>
      </w:r>
    </w:p>
    <w:p w:rsidR="00837796" w:rsidRPr="00260B54" w:rsidRDefault="00837796" w:rsidP="00260B54">
      <w:pPr>
        <w:spacing w:line="360" w:lineRule="auto"/>
        <w:jc w:val="both"/>
        <w:rPr>
          <w:rFonts w:ascii="Verdana" w:hAnsi="Verdana" w:cs="Times New Roman"/>
          <w:b/>
          <w:sz w:val="20"/>
          <w:szCs w:val="20"/>
          <w:lang w:val="en-US"/>
        </w:rPr>
      </w:pPr>
      <w:r w:rsidRPr="00260B54">
        <w:rPr>
          <w:rFonts w:ascii="Verdana" w:hAnsi="Verdana" w:cs="Times New Roman"/>
          <w:b/>
          <w:sz w:val="20"/>
          <w:szCs w:val="20"/>
          <w:lang w:val="en-US"/>
        </w:rPr>
        <w:t>Keywords:</w:t>
      </w:r>
      <w:r w:rsidRPr="00260B54">
        <w:rPr>
          <w:rFonts w:ascii="Verdana" w:hAnsi="Verdana" w:cs="Times New Roman"/>
          <w:sz w:val="20"/>
          <w:szCs w:val="20"/>
          <w:lang w:val="en-US"/>
        </w:rPr>
        <w:t xml:space="preserve"> physical activity, elderly, non-communicable diseases.</w:t>
      </w:r>
    </w:p>
    <w:p w:rsidR="00837796" w:rsidRPr="00260B54" w:rsidRDefault="00837796" w:rsidP="00260B54">
      <w:pPr>
        <w:spacing w:line="360" w:lineRule="auto"/>
        <w:jc w:val="both"/>
        <w:rPr>
          <w:rFonts w:ascii="Verdana" w:hAnsi="Verdana" w:cs="Times New Roman"/>
          <w:b/>
          <w:sz w:val="20"/>
          <w:szCs w:val="20"/>
        </w:rPr>
      </w:pPr>
      <w:r w:rsidRPr="00260B54">
        <w:rPr>
          <w:rFonts w:ascii="Verdana" w:hAnsi="Verdana" w:cs="Times New Roman"/>
          <w:b/>
          <w:sz w:val="20"/>
          <w:szCs w:val="20"/>
        </w:rPr>
        <w:t>Introducción</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cambio en la esperanza de vida y en el estilo de vida de la población occidental ha derivado en la aparición y auge de nuevas enfermedades de índole crónico. En pocos años la preocupación en salud en los países desarrollados ha cambiado de visión. Hemos conseguido obtener un control casi definitivo sobre la mayoría de las enfermedades transmisibles que asolaban el mundo gracias a la aparición de las vacunas, los antibióticos y los avances biosanitarios.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Los buenos resultados alcanzados en el control de las enfermedades infecciosas y la tendencia a la reducción de la fertilidad conducen inexorablemente a la transición de una estructura poblacional joven a una de mayor edad. Esta transición demográfica ocurrirá más rápidamente en los países en vías de desarrollo que en los países desarrollados.</w:t>
      </w:r>
    </w:p>
    <w:p w:rsidR="00837796" w:rsidRPr="00DB041C" w:rsidRDefault="00837796" w:rsidP="00260B54">
      <w:pPr>
        <w:spacing w:line="360" w:lineRule="auto"/>
        <w:jc w:val="both"/>
        <w:rPr>
          <w:rFonts w:ascii="Verdana" w:hAnsi="Verdana" w:cs="Times New Roman"/>
          <w:sz w:val="16"/>
          <w:szCs w:val="20"/>
        </w:rPr>
      </w:pPr>
      <w:r w:rsidRPr="00260B54">
        <w:rPr>
          <w:rFonts w:ascii="Verdana" w:hAnsi="Verdana" w:cs="Times New Roman"/>
          <w:sz w:val="20"/>
          <w:szCs w:val="20"/>
        </w:rPr>
        <w:t xml:space="preserve">En las Américas se observan cambios en los patrones de consumo y en los hábitos de vida de la población que llevan a una "transición en los riesgos", la cual se </w:t>
      </w:r>
      <w:r w:rsidRPr="00260B54">
        <w:rPr>
          <w:rFonts w:ascii="Verdana" w:hAnsi="Verdana" w:cs="Times New Roman"/>
          <w:sz w:val="20"/>
          <w:szCs w:val="20"/>
        </w:rPr>
        <w:lastRenderedPageBreak/>
        <w:t>manifiesta en un alarmante incremento de algunos factores de rie</w:t>
      </w:r>
      <w:r>
        <w:rPr>
          <w:rFonts w:ascii="Verdana" w:hAnsi="Verdana" w:cs="Times New Roman"/>
          <w:sz w:val="20"/>
          <w:szCs w:val="20"/>
        </w:rPr>
        <w:t>sgo en los países de la Región</w:t>
      </w:r>
      <w:r w:rsidRPr="00260B54">
        <w:rPr>
          <w:rFonts w:ascii="Verdana" w:hAnsi="Verdana" w:cs="Times New Roman"/>
          <w:sz w:val="20"/>
          <w:szCs w:val="20"/>
        </w:rPr>
        <w:t>. Estos riesgos están asociados con dietas abundantes en contenido graso y productos de origen animal y con poca fibra, y con la inactividad física. Todo esto contribuye al incremento de la prevalencia de diversas Enfermedades No Tr</w:t>
      </w:r>
      <w:r>
        <w:rPr>
          <w:rFonts w:ascii="Verdana" w:hAnsi="Verdana" w:cs="Times New Roman"/>
          <w:sz w:val="20"/>
          <w:szCs w:val="20"/>
        </w:rPr>
        <w:t xml:space="preserve">ansmisibles (ENT), tales como: </w:t>
      </w:r>
      <w:r w:rsidRPr="00260B54">
        <w:rPr>
          <w:rFonts w:ascii="Verdana" w:hAnsi="Verdana" w:cs="Times New Roman"/>
          <w:sz w:val="20"/>
          <w:szCs w:val="20"/>
        </w:rPr>
        <w:t>Obesidad, Diabetes Mellitus (DM), Hipertensión Arterial (HTA), la Enfermedad Cerebrovascular y la Cardiopatía Isquémica (CI)</w:t>
      </w:r>
      <w:r w:rsidR="00D159FC">
        <w:rPr>
          <w:rFonts w:ascii="Verdana" w:hAnsi="Verdana" w:cs="Times New Roman"/>
          <w:sz w:val="20"/>
          <w:szCs w:val="20"/>
        </w:rPr>
        <w:t xml:space="preserve"> </w:t>
      </w:r>
      <w:r w:rsidRPr="00D159FC">
        <w:rPr>
          <w:rFonts w:ascii="Verdana" w:hAnsi="Verdana" w:cs="Times New Roman"/>
          <w:b/>
          <w:noProof/>
          <w:sz w:val="20"/>
          <w:szCs w:val="20"/>
          <w:vertAlign w:val="superscript"/>
        </w:rPr>
        <w:t>(Mendis, Armstrong, Bettcher, &amp; "et al.", 2014)</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A medida que la población envejece, aumenta la prevalencia de enfermedades crónicas y </w:t>
      </w:r>
      <w:proofErr w:type="spellStart"/>
      <w:r w:rsidRPr="00260B54">
        <w:rPr>
          <w:rFonts w:ascii="Verdana" w:hAnsi="Verdana" w:cs="Times New Roman"/>
          <w:sz w:val="20"/>
          <w:szCs w:val="20"/>
        </w:rPr>
        <w:t>discapacitantes</w:t>
      </w:r>
      <w:proofErr w:type="spellEnd"/>
      <w:r w:rsidRPr="00260B54">
        <w:rPr>
          <w:rFonts w:ascii="Verdana" w:hAnsi="Verdana" w:cs="Times New Roman"/>
          <w:sz w:val="20"/>
          <w:szCs w:val="20"/>
        </w:rPr>
        <w:t>. Por lo general, las enfermedades diagnosticadas en los adultos mayores no son curables y, si no se tratan adecuada y oportunamente, tienden a provocar complicaciones y secuelas que dificultan la independencia y la autonomía de las personas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(J. et al., 2005)</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costo de las enfermedades y su impacto en el estado funcional son mayores en los pacientes de edad avanzada que en las personas más jóvenes. Por ejemplo, las secuelas de las enfermedades cerebrovasculares (ECV) y del infarto del miocardio suelen ejercer un mayor efecto sobre el estado funcional de los adultos mayores y su uso de servicios de salud que la presentación aguda inicial de las mismas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(J. et al., 2005)</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elevada prevalencia de múltiples ENT en adultos mayores es un importante desafío para los proveedores de servicios de salud. Se conoce que las ENT, sea una sola o varias, elevan los costos sanitarios y algunos países de la Región cuya población envejece rápidamente, como Chile y Brasil, experimentan un aumento en la carga de ENT y de discapacidad</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(J. et al., 2005)</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Según estadísticas oficiales publicadas en el Censo de Población y Viviendas del año 2012, Cuba es uno de los países más envejecidos de América Latina y está previsto sea hacia el 2050 uno de los más envejecidos del mundo</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(Carbonell-González, 2018)</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vertAlign w:val="superscript"/>
        </w:rPr>
      </w:pPr>
      <w:r w:rsidRPr="00260B54">
        <w:rPr>
          <w:rFonts w:ascii="Verdana" w:hAnsi="Verdana" w:cs="Times New Roman"/>
          <w:sz w:val="20"/>
          <w:szCs w:val="20"/>
        </w:rPr>
        <w:t xml:space="preserve">En Cuba, en 2016 se reportó una tasa de 8,7 defunciones por 100 000 habitantes. Las Enfermedades No Transmisibles (ENT), representan cerca del 80 % del total de muertes (las enfermedades cardiovasculares son seguidas de tumores malignos, enfermedades neurológicas, enfermedades crónicas de las vías respiratorias inferiores y Diabetes </w:t>
      </w:r>
      <w:proofErr w:type="spellStart"/>
      <w:r w:rsidRPr="00260B54">
        <w:rPr>
          <w:rFonts w:ascii="Verdana" w:hAnsi="Verdana" w:cs="Times New Roman"/>
          <w:sz w:val="20"/>
          <w:szCs w:val="20"/>
        </w:rPr>
        <w:t>Mellitus</w:t>
      </w:r>
      <w:proofErr w:type="spellEnd"/>
      <w:r w:rsidRPr="00260B54">
        <w:rPr>
          <w:rFonts w:ascii="Verdana" w:hAnsi="Verdana" w:cs="Times New Roman"/>
          <w:sz w:val="20"/>
          <w:szCs w:val="20"/>
        </w:rPr>
        <w:t>)</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(Noa-Pelier, Vila-García, &amp; de la Torre -Chávez, 2019)</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Uno de los efectos más conocidos del envejecimiento, aunado a la baja actividad física y al estilo de vida sedentario, es la reducción de la fuerza muscular, que se asocia con el decremento en la función muscular y la movilidad. La pérdida en la fuerza muscular no sólo tiene efectos físicos o fisiológicos en los adultos mayores, </w:t>
      </w:r>
      <w:r w:rsidRPr="00260B54">
        <w:rPr>
          <w:rFonts w:ascii="Verdana" w:hAnsi="Verdana" w:cs="Times New Roman"/>
          <w:sz w:val="20"/>
          <w:szCs w:val="20"/>
        </w:rPr>
        <w:lastRenderedPageBreak/>
        <w:t>sino que también afecta las esferas psicológica y social de este grupo de la población</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(Andersen, 2003)</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Sarcopenia es un término relativamente reciente introducido por Rosenberg en 1988, y se refiere al proceso por el cual se produce un descenso importante de la masa muscular (el tamaño y la cantidad de fibras musculares) que se sitúa a dos desviaciones estándar por debajo de la media de una población de referencia sana y joven. Probablemente es una de las características del envejecimiento que supone un cambio importante en la función y composición corporal. Al envejecer se produce la disminución (en estructura y en función) más considerable en la masa muscular de todo el ciclo vital, la cual se asocia estrechamente con la pérdida de fuerza muscular, la tendencia al ingreso en instituciones especializadas o residencias para mayores, el aumento de la debilidad, las caídas y fracturas, la osteoporosis, la disminución o pérdida de la capacidad de desplazamiento, la ingesta insuficiente de alimentos y el mal estado nutricional, lo que propicia en última instancia la presencia de trastornos posturales, de discapacidad y la dependencia física</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(Andersen, 2003)</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La Organización Mundial de la Salud (OMS) y la Organización Panamericana de la Salud </w:t>
      </w:r>
      <w:r w:rsidRPr="00D159FC">
        <w:rPr>
          <w:rFonts w:ascii="Verdana" w:hAnsi="Verdana" w:cs="Times New Roman"/>
          <w:b/>
          <w:sz w:val="20"/>
          <w:szCs w:val="20"/>
          <w:vertAlign w:val="superscript"/>
        </w:rPr>
        <w:t>(OPS, 2006)</w:t>
      </w:r>
      <w:r w:rsidRPr="00260B54">
        <w:rPr>
          <w:rFonts w:ascii="Verdana" w:hAnsi="Verdana" w:cs="Times New Roman"/>
          <w:sz w:val="20"/>
          <w:szCs w:val="20"/>
        </w:rPr>
        <w:t xml:space="preserve"> definen a un adulto mayor funcionalmente sano como el anciano capaz de enfrentar este proceso de cambio con un nivel adecuado de adaptación funcional y de satisfacción personal</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(Organización Panamericana de la Salud, 2006)</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Quizás el aspecto más interesante en este contexto es si este fenómeno regresivo puede ser controlado o revertido mediante el entrenamiento físico. Al contrario de lo antes señalado, está ampliamente documentado el efecto protector de la actividad física y en particular del trabajo de fuerza sobre la salud muscular de las personas mayores. Los niveles de actividad física elevados provocan que las pérdidas de masa muscular y pérdida de fuerza se reduzcan</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(Andersen, 2003)</w:t>
      </w:r>
      <w:r w:rsidRPr="00260B54">
        <w:rPr>
          <w:rFonts w:ascii="Verdana" w:hAnsi="Verdana" w:cs="Times New Roman"/>
          <w:sz w:val="20"/>
          <w:szCs w:val="20"/>
        </w:rPr>
        <w:t>.</w:t>
      </w:r>
    </w:p>
    <w:p w:rsidR="00837796" w:rsidRPr="00DB04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En este contexto, un aspecto que resulta particularmente interesante es el acondicionamiento físico mediante el entrenamiento de fuerza, lo que sin duda tendría importantes repercusiones en el campo de la salud. El trabajo de</w:t>
      </w:r>
      <w:r w:rsidR="00D159FC">
        <w:rPr>
          <w:rFonts w:ascii="Verdana" w:hAnsi="Verdana" w:cs="Times New Roman"/>
          <w:sz w:val="20"/>
          <w:szCs w:val="20"/>
        </w:rPr>
        <w:t xml:space="preserve"> </w:t>
      </w:r>
      <w:r w:rsidRPr="00D159FC">
        <w:rPr>
          <w:rFonts w:ascii="Verdana" w:hAnsi="Verdana" w:cs="Times New Roman"/>
          <w:b/>
          <w:noProof/>
          <w:sz w:val="20"/>
          <w:szCs w:val="20"/>
          <w:vertAlign w:val="superscript"/>
        </w:rPr>
        <w:t>(Brown, McCartney, &amp; Sale, 1990)</w:t>
      </w:r>
      <w:r w:rsidRPr="00260B54">
        <w:rPr>
          <w:rFonts w:ascii="Verdana" w:hAnsi="Verdana" w:cs="Times New Roman"/>
          <w:sz w:val="20"/>
          <w:szCs w:val="20"/>
        </w:rPr>
        <w:t xml:space="preserve">, es claro ejemplo de cómo puede mejorarse la fuerza y la composición corporal de las personas hasta edades muy avanzadas (más de 90 años). Trabajos como los de Izquierdo et al. Son referencia mundial en el ámbito del trabajo de fuerza en personas mayores y muestran claramente cómo las personas mayores sometidas a un trabajo de fuerza intenso y sistematizado todavía pueden, mediante el aumento de la fuerza y la masa muscular, ser capaces de aumentar su potencia muscular incluso a una edad avanzada. Por tanto, parece </w:t>
      </w:r>
      <w:r w:rsidRPr="00260B54">
        <w:rPr>
          <w:rFonts w:ascii="Verdana" w:hAnsi="Verdana" w:cs="Times New Roman"/>
          <w:sz w:val="20"/>
          <w:szCs w:val="20"/>
        </w:rPr>
        <w:lastRenderedPageBreak/>
        <w:t>evidente que tanto la fuerza muscular como sus manifestaciones explosivas (la potencia) son aspectos necesarios al realizar algunas de las tareas cotidianas en este grupo de población. Así, es ello lógico fomentar el desarrollo de las estrategias más adecuadas para este colectivo que sirvan para mejorar la fuerza y sus diversas manifestaciones tanto a nivel de las extremidades superiores como en las inferiores y/o en el tronco</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(Andersen, 2003; Brown et al., 1990)</w:t>
      </w:r>
      <w:r w:rsidRPr="00260B54">
        <w:rPr>
          <w:rFonts w:ascii="Verdana" w:hAnsi="Verdana" w:cs="Times New Roman"/>
          <w:sz w:val="20"/>
          <w:szCs w:val="20"/>
        </w:rPr>
        <w:t>.</w:t>
      </w:r>
    </w:p>
    <w:p w:rsidR="00837796" w:rsidRPr="00313A40"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En otro orden de ideas, también se ha señalado la importancia de realizar un acondicionamiento muscular de las personas mayores en situaciones muy variadas. Por ejemplo, puede resaltarse la importancia de aumentar la masa muscular y su efecto incrementando el metabolismo basal, la disminución de la grasa corporal a largo plazo y un aporte energético más abundante. Asimismo, cabe resaltar el efecto protector que la masa muscular tiene en relación con la aparición de la osteoporosis y en la prevención de fracturas óseas al disminuir el riesgo de caídas. De la misma manera, actualmente se reconoce la importancia del aumento de la masa muscular para favorecer el control de la glucemia debido al importante consumo de glucosa por el músculo durante las actividades musculares, lo que resulta interesante habida cuenta del elevado número de personas mayores que sufren diabetes tipo II. Igualmente, la fuerza del tronco y de los miembros superiores son necesarios para la realización de muchas actividades cotidianas, e incluso se recomienda para los programas de rehabilitación de las personas con problemas cardiovasculares, aunque bajo supervisión y una vez descartadas posibles contraindicaciones, ya que los planteamientos exclusivamente centrados en la ejecución de actividades aeróbicas como la marcha, la carrera, el ciclismo (en bicicletas estáticas o normales) o las actividades aeróbicas en agua, aunque necesarias, generalmente no se han centrado en el acondicionamiento del tronco y las extremidades superiores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(Andersen, 2003; Brown et al., 1990)</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En la actualidad, en el mundo se hace cada vez más evidente la necesidad de la práctica del ejercicio físico, como medio de prevención y tratamiento de múltiples enfermedades, con el objetivo de aportar una acción que contribuya a elevar la calidad de vida de los practicantes y más en la tercera edad, dada las características de las enfermedades asociadas a la geriatría y por la gran incidencia que tiene el desarrollo social referido a la dieta preelaborada, cargada de carbohidratos y el aumento de tejido adiposo en el cuerpo, debido a la insuficiente planificación del tiempo para ejercitar de manera práctica el organismo, envejecer es un hecho inevitable.</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La actividad física de los adultos mayores como una forma de vida saludable tiene gran trascendencia en la sociedad, pues la práctica del ejercicio y el deporte </w:t>
      </w:r>
      <w:r w:rsidRPr="00260B54">
        <w:rPr>
          <w:rFonts w:ascii="Verdana" w:hAnsi="Verdana" w:cs="Times New Roman"/>
          <w:sz w:val="20"/>
          <w:szCs w:val="20"/>
        </w:rPr>
        <w:lastRenderedPageBreak/>
        <w:t>promueve la prevención, el tratamiento y la rehabilitación de algunas enfermedades, lo cual brinda un mejor nivel de salud. La mayoría de las personas tiene alguna idea de los beneficios que ofrece la práctica de la actividad física; sin embargo, se desconoce en qué forma puede relacionarse con la funcionalidad física y social, la vitalidad para llevar a cabo las tareas diarias, y su relación con la alimentación.</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objetivo de este trabajo es incrementar los conocimientos sobre la repercusión de los cambios del envejecimiento en la funcionabilidad del adulto mayor, para contribuir a aumentar la calidad de vida y bienestar de este sector tan importante de la población, desde la actividad física.</w:t>
      </w:r>
    </w:p>
    <w:p w:rsidR="00844293" w:rsidRPr="00844293" w:rsidRDefault="00844293" w:rsidP="00844293">
      <w:pPr>
        <w:spacing w:line="360" w:lineRule="auto"/>
        <w:jc w:val="both"/>
        <w:rPr>
          <w:rFonts w:ascii="Verdana" w:hAnsi="Verdana" w:cs="Times New Roman"/>
          <w:b/>
          <w:sz w:val="20"/>
          <w:szCs w:val="20"/>
        </w:rPr>
      </w:pPr>
      <w:r w:rsidRPr="00844293">
        <w:rPr>
          <w:rFonts w:ascii="Verdana" w:hAnsi="Verdana" w:cs="Times New Roman"/>
          <w:b/>
          <w:sz w:val="20"/>
          <w:szCs w:val="20"/>
        </w:rPr>
        <w:t>Métodos</w:t>
      </w:r>
    </w:p>
    <w:p w:rsidR="00844293" w:rsidRPr="00844293" w:rsidRDefault="00844293" w:rsidP="00844293">
      <w:pPr>
        <w:spacing w:line="360" w:lineRule="auto"/>
        <w:jc w:val="both"/>
        <w:rPr>
          <w:rFonts w:ascii="Verdana" w:hAnsi="Verdana" w:cs="Times New Roman"/>
          <w:sz w:val="20"/>
          <w:szCs w:val="20"/>
        </w:rPr>
      </w:pPr>
      <w:r w:rsidRPr="00844293">
        <w:rPr>
          <w:rFonts w:ascii="Verdana" w:hAnsi="Verdana" w:cs="Times New Roman"/>
          <w:sz w:val="20"/>
          <w:szCs w:val="20"/>
        </w:rPr>
        <w:t xml:space="preserve">Se realizó una revisión bibliográfica mediante búsquedas electrónicas y en bibliotecas de revistas médicas nacionales y extranjeras indexadas en </w:t>
      </w:r>
      <w:proofErr w:type="spellStart"/>
      <w:r w:rsidRPr="00844293">
        <w:rPr>
          <w:rFonts w:ascii="Verdana" w:hAnsi="Verdana" w:cs="Times New Roman"/>
          <w:sz w:val="20"/>
          <w:szCs w:val="20"/>
        </w:rPr>
        <w:t>SciELO</w:t>
      </w:r>
      <w:proofErr w:type="spellEnd"/>
      <w:r w:rsidRPr="00844293">
        <w:rPr>
          <w:rFonts w:ascii="Verdana" w:hAnsi="Verdana" w:cs="Times New Roman"/>
          <w:sz w:val="20"/>
          <w:szCs w:val="20"/>
        </w:rPr>
        <w:t xml:space="preserve"> y </w:t>
      </w:r>
      <w:proofErr w:type="spellStart"/>
      <w:r w:rsidRPr="00844293">
        <w:rPr>
          <w:rFonts w:ascii="Verdana" w:hAnsi="Verdana" w:cs="Times New Roman"/>
          <w:sz w:val="20"/>
          <w:szCs w:val="20"/>
        </w:rPr>
        <w:t>Pubmed</w:t>
      </w:r>
      <w:proofErr w:type="spellEnd"/>
      <w:r w:rsidRPr="00844293">
        <w:rPr>
          <w:rFonts w:ascii="Verdana" w:hAnsi="Verdana" w:cs="Times New Roman"/>
          <w:sz w:val="20"/>
          <w:szCs w:val="20"/>
        </w:rPr>
        <w:t xml:space="preserve"> en un horizonte de 10 años. Se consultaron tesis de terminación de estudios y libros de textos con información relacionada con envejecimiento poblacional y actividad física, actividad física y enfermedades no transmisibles</w:t>
      </w:r>
    </w:p>
    <w:p w:rsidR="00844293" w:rsidRPr="00844293" w:rsidRDefault="00844293" w:rsidP="00844293">
      <w:pPr>
        <w:spacing w:line="360" w:lineRule="auto"/>
        <w:jc w:val="both"/>
        <w:rPr>
          <w:rFonts w:ascii="Verdana" w:hAnsi="Verdana" w:cs="Times New Roman"/>
          <w:sz w:val="20"/>
          <w:szCs w:val="20"/>
        </w:rPr>
      </w:pPr>
      <w:proofErr w:type="spellStart"/>
      <w:r w:rsidRPr="00844293">
        <w:rPr>
          <w:rFonts w:ascii="Verdana" w:hAnsi="Verdana" w:cs="Times New Roman"/>
          <w:sz w:val="20"/>
          <w:szCs w:val="20"/>
        </w:rPr>
        <w:t>Pubmed</w:t>
      </w:r>
      <w:proofErr w:type="spellEnd"/>
      <w:r w:rsidRPr="00844293">
        <w:rPr>
          <w:rFonts w:ascii="Verdana" w:hAnsi="Verdana" w:cs="Times New Roman"/>
          <w:sz w:val="20"/>
          <w:szCs w:val="20"/>
        </w:rPr>
        <w:t>: En esta base de datos se realizó una búsqueda con los términos de búsquedas “</w:t>
      </w:r>
      <w:proofErr w:type="spellStart"/>
      <w:r w:rsidRPr="00844293">
        <w:rPr>
          <w:rFonts w:ascii="Verdana" w:hAnsi="Verdana" w:cs="Times New Roman"/>
          <w:sz w:val="20"/>
          <w:szCs w:val="20"/>
        </w:rPr>
        <w:t>chronic</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noncommunicable</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diseases</w:t>
      </w:r>
      <w:proofErr w:type="spellEnd"/>
      <w:r w:rsidRPr="00844293">
        <w:rPr>
          <w:rFonts w:ascii="Verdana" w:hAnsi="Verdana" w:cs="Times New Roman"/>
          <w:sz w:val="20"/>
          <w:szCs w:val="20"/>
        </w:rPr>
        <w:t xml:space="preserve"> AND </w:t>
      </w:r>
      <w:proofErr w:type="spellStart"/>
      <w:r w:rsidRPr="00844293">
        <w:rPr>
          <w:rFonts w:ascii="Verdana" w:hAnsi="Verdana" w:cs="Times New Roman"/>
          <w:sz w:val="20"/>
          <w:szCs w:val="20"/>
        </w:rPr>
        <w:t>physical</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activity</w:t>
      </w:r>
      <w:proofErr w:type="spellEnd"/>
      <w:r w:rsidRPr="00844293">
        <w:rPr>
          <w:rFonts w:ascii="Verdana" w:hAnsi="Verdana" w:cs="Times New Roman"/>
          <w:sz w:val="20"/>
          <w:szCs w:val="20"/>
        </w:rPr>
        <w:t xml:space="preserve">”. Obteniéndose 101 artículos posteriormente en </w:t>
      </w:r>
      <w:proofErr w:type="spellStart"/>
      <w:r w:rsidRPr="00844293">
        <w:rPr>
          <w:rFonts w:ascii="Verdana" w:hAnsi="Verdana" w:cs="Times New Roman"/>
          <w:sz w:val="20"/>
          <w:szCs w:val="20"/>
        </w:rPr>
        <w:t>additional</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filters</w:t>
      </w:r>
      <w:proofErr w:type="spellEnd"/>
      <w:r w:rsidRPr="00844293">
        <w:rPr>
          <w:rFonts w:ascii="Verdana" w:hAnsi="Verdana" w:cs="Times New Roman"/>
          <w:sz w:val="20"/>
          <w:szCs w:val="20"/>
        </w:rPr>
        <w:t xml:space="preserve"> se limitó la búsqueda de la siguiente manera: </w:t>
      </w:r>
    </w:p>
    <w:p w:rsidR="00844293" w:rsidRDefault="00844293" w:rsidP="00844293">
      <w:pPr>
        <w:pStyle w:val="Prrafodelista"/>
        <w:numPr>
          <w:ilvl w:val="0"/>
          <w:numId w:val="4"/>
        </w:numPr>
        <w:spacing w:line="360" w:lineRule="auto"/>
        <w:jc w:val="both"/>
        <w:rPr>
          <w:rFonts w:ascii="Verdana" w:hAnsi="Verdana" w:cs="Times New Roman"/>
          <w:sz w:val="20"/>
          <w:szCs w:val="20"/>
        </w:rPr>
      </w:pPr>
      <w:r w:rsidRPr="00844293">
        <w:rPr>
          <w:rFonts w:ascii="Verdana" w:hAnsi="Verdana" w:cs="Times New Roman"/>
          <w:sz w:val="20"/>
          <w:szCs w:val="20"/>
        </w:rPr>
        <w:t xml:space="preserve">En </w:t>
      </w:r>
      <w:proofErr w:type="spellStart"/>
      <w:r w:rsidRPr="00844293">
        <w:rPr>
          <w:rFonts w:ascii="Verdana" w:hAnsi="Verdana" w:cs="Times New Roman"/>
          <w:sz w:val="20"/>
          <w:szCs w:val="20"/>
        </w:rPr>
        <w:t>publication</w:t>
      </w:r>
      <w:proofErr w:type="spellEnd"/>
      <w:r w:rsidRPr="00844293">
        <w:rPr>
          <w:rFonts w:ascii="Verdana" w:hAnsi="Verdana" w:cs="Times New Roman"/>
          <w:sz w:val="20"/>
          <w:szCs w:val="20"/>
        </w:rPr>
        <w:t xml:space="preserve"> dates se estableció un tiempo de 10 años para la obtención de artículos quedando 83 artículos</w:t>
      </w:r>
    </w:p>
    <w:p w:rsidR="00844293" w:rsidRPr="00844293" w:rsidRDefault="00844293" w:rsidP="00844293">
      <w:pPr>
        <w:pStyle w:val="Prrafodelista"/>
        <w:numPr>
          <w:ilvl w:val="0"/>
          <w:numId w:val="4"/>
        </w:numPr>
        <w:spacing w:line="360" w:lineRule="auto"/>
        <w:jc w:val="both"/>
        <w:rPr>
          <w:rFonts w:ascii="Verdana" w:hAnsi="Verdana" w:cs="Times New Roman"/>
          <w:sz w:val="20"/>
          <w:szCs w:val="20"/>
        </w:rPr>
      </w:pPr>
      <w:r w:rsidRPr="00844293">
        <w:rPr>
          <w:rFonts w:ascii="Verdana" w:hAnsi="Verdana" w:cs="Times New Roman"/>
          <w:sz w:val="20"/>
          <w:szCs w:val="20"/>
        </w:rPr>
        <w:t xml:space="preserve">En </w:t>
      </w:r>
      <w:proofErr w:type="spellStart"/>
      <w:r w:rsidRPr="00844293">
        <w:rPr>
          <w:rFonts w:ascii="Verdana" w:hAnsi="Verdana" w:cs="Times New Roman"/>
          <w:sz w:val="20"/>
          <w:szCs w:val="20"/>
        </w:rPr>
        <w:t>text</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availability</w:t>
      </w:r>
      <w:proofErr w:type="spellEnd"/>
      <w:r w:rsidRPr="00844293">
        <w:rPr>
          <w:rFonts w:ascii="Verdana" w:hAnsi="Verdana" w:cs="Times New Roman"/>
          <w:sz w:val="20"/>
          <w:szCs w:val="20"/>
        </w:rPr>
        <w:t xml:space="preserve"> se seleccionó la opción de free full </w:t>
      </w:r>
      <w:proofErr w:type="spellStart"/>
      <w:r w:rsidRPr="00844293">
        <w:rPr>
          <w:rFonts w:ascii="Verdana" w:hAnsi="Verdana" w:cs="Times New Roman"/>
          <w:sz w:val="20"/>
          <w:szCs w:val="20"/>
        </w:rPr>
        <w:t>text</w:t>
      </w:r>
      <w:proofErr w:type="spellEnd"/>
      <w:r w:rsidR="002A4184">
        <w:rPr>
          <w:rFonts w:ascii="Verdana" w:hAnsi="Verdana" w:cs="Times New Roman"/>
          <w:sz w:val="20"/>
          <w:szCs w:val="20"/>
        </w:rPr>
        <w:t xml:space="preserve"> </w:t>
      </w:r>
      <w:proofErr w:type="spellStart"/>
      <w:r w:rsidRPr="00844293">
        <w:rPr>
          <w:rFonts w:ascii="Verdana" w:hAnsi="Verdana" w:cs="Times New Roman"/>
          <w:sz w:val="20"/>
          <w:szCs w:val="20"/>
        </w:rPr>
        <w:t>available</w:t>
      </w:r>
      <w:proofErr w:type="spellEnd"/>
      <w:r w:rsidRPr="00844293">
        <w:rPr>
          <w:rFonts w:ascii="Verdana" w:hAnsi="Verdana" w:cs="Times New Roman"/>
          <w:sz w:val="20"/>
          <w:szCs w:val="20"/>
        </w:rPr>
        <w:t xml:space="preserve"> quedando 53 artículos de los cuales se seleccionaron 15 artículos los cuales respondían a los intereses de nuestra investigación </w:t>
      </w:r>
    </w:p>
    <w:p w:rsidR="00844293" w:rsidRPr="00844293" w:rsidRDefault="00844293" w:rsidP="00844293">
      <w:pPr>
        <w:spacing w:line="360" w:lineRule="auto"/>
        <w:jc w:val="both"/>
        <w:rPr>
          <w:rFonts w:ascii="Verdana" w:hAnsi="Verdana" w:cs="Times New Roman"/>
          <w:sz w:val="20"/>
          <w:szCs w:val="20"/>
        </w:rPr>
      </w:pPr>
      <w:r w:rsidRPr="00844293">
        <w:rPr>
          <w:rFonts w:ascii="Verdana" w:hAnsi="Verdana" w:cs="Times New Roman"/>
          <w:sz w:val="20"/>
          <w:szCs w:val="20"/>
        </w:rPr>
        <w:t>SciELO: En esta base de datos, se realizó una búsqueda. Utilizando los términos “enfermedades crónicas no trasmisibles” AND actividad física” sin ningún filtro obteniéndose 13 artículos, de los cuales por las características de los artículos con nuestra investigación se redujeron a 4 artículos.</w:t>
      </w:r>
    </w:p>
    <w:p w:rsidR="00837796" w:rsidRPr="00260B54" w:rsidRDefault="00844293" w:rsidP="00844293">
      <w:pPr>
        <w:spacing w:line="360" w:lineRule="auto"/>
        <w:jc w:val="both"/>
        <w:rPr>
          <w:rFonts w:ascii="Verdana" w:hAnsi="Verdana" w:cs="Times New Roman"/>
          <w:sz w:val="20"/>
          <w:szCs w:val="20"/>
        </w:rPr>
      </w:pPr>
      <w:r w:rsidRPr="00844293">
        <w:rPr>
          <w:rFonts w:ascii="Verdana" w:hAnsi="Verdana" w:cs="Times New Roman"/>
          <w:sz w:val="20"/>
          <w:szCs w:val="20"/>
        </w:rPr>
        <w:t xml:space="preserve">A través de internet de una búsqueda libre, se obtuvieron 12 archivos en PDF. Sin embargo, sólo 2 han sido utilizados en esta investigación. Los motivos de la exclusión han sido la poca evidencia que algunos de ellos mostraban o la falta de información práctica para nuestra investigación. A través de la biblioteca de la Universidad de la Ciencias de la Cultura Física y el Deporte se consultaron 5 libros, </w:t>
      </w:r>
      <w:r w:rsidRPr="00844293">
        <w:rPr>
          <w:rFonts w:ascii="Verdana" w:hAnsi="Verdana" w:cs="Times New Roman"/>
          <w:sz w:val="20"/>
          <w:szCs w:val="20"/>
        </w:rPr>
        <w:lastRenderedPageBreak/>
        <w:t>de los cuales 2 se excluyeron por la antigüedad de la fecha de publicación y por contener la misma información y más reciente en los libros seleccionados.</w:t>
      </w:r>
    </w:p>
    <w:p w:rsidR="00837796" w:rsidRPr="00260B54" w:rsidRDefault="00837796" w:rsidP="00260B54">
      <w:pPr>
        <w:spacing w:line="360" w:lineRule="auto"/>
        <w:jc w:val="both"/>
        <w:rPr>
          <w:rFonts w:ascii="Verdana" w:hAnsi="Verdana" w:cs="Times New Roman"/>
          <w:b/>
          <w:sz w:val="20"/>
          <w:szCs w:val="20"/>
        </w:rPr>
      </w:pPr>
      <w:r w:rsidRPr="00260B54">
        <w:rPr>
          <w:rFonts w:ascii="Verdana" w:hAnsi="Verdana" w:cs="Times New Roman"/>
          <w:b/>
          <w:sz w:val="20"/>
          <w:szCs w:val="20"/>
        </w:rPr>
        <w:t>Desarrollo</w:t>
      </w:r>
    </w:p>
    <w:p w:rsidR="00837796" w:rsidRPr="00A819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El sistema nervioso en sí está subdividido en el llamado sistema nervioso central, el cual abarca el encéfalo (entiéndase cerebro, cerebelo y tallo cerebral) y el cordón espinal. Subsecuentemente se tiene el sistema nervioso periférico, dentro del cual se aglomeran todos los componentes </w:t>
      </w:r>
      <w:proofErr w:type="spellStart"/>
      <w:r w:rsidRPr="00260B54">
        <w:rPr>
          <w:rFonts w:ascii="Verdana" w:hAnsi="Verdana" w:cs="Times New Roman"/>
          <w:sz w:val="20"/>
          <w:szCs w:val="20"/>
        </w:rPr>
        <w:t>extradurales</w:t>
      </w:r>
      <w:proofErr w:type="spellEnd"/>
      <w:r w:rsidRPr="00260B54">
        <w:rPr>
          <w:rFonts w:ascii="Verdana" w:hAnsi="Verdana" w:cs="Times New Roman"/>
          <w:sz w:val="20"/>
          <w:szCs w:val="20"/>
        </w:rPr>
        <w:t>, enumerándose nervios espinales, pares craneales (a excepción del nervio olfatorio y óptico los cuales por su origen embriológico se consideran parte del sistema nervioso central) y junto a ellos los receptores periféricos y ganglios de la raíz dorsal que por función trabajan cercanamente entre sí. Ciertos autores incluyen como parte de este sistema inclusive a la placa motora (axón de neurona motora y todas las fibras musculares que esta inerva). Por último y como tercera subdivisión, se erige el llamado sistema nervioso autonómico</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(Sequeira Quesada &amp; Casares Fallas, 2018)</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concepto calidad de vida hace referencia a un proceso dinámico que ha sufrido profundas modificaciones en las tres últimas décadas, evolucionando desde una concepción sociológica hasta la actual perspectiva psicosocial, en la que se incluyen los aspectos tanto objetivos como subjetivos del bienestar o de la satisfacción personal con la vida, siendo estos últimos los que adquieren mayor relevancia. La bibliografía sobre gerontología demuestra cómo el entorno social es importante para el equilibrio psicosocial, lo que beneficia el aspecto físico del adulto mayor</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(González-Rodríguez, 2015)</w:t>
      </w:r>
      <w:r w:rsidRPr="00260B54">
        <w:rPr>
          <w:rFonts w:ascii="Verdana" w:hAnsi="Verdana" w:cs="Times New Roman"/>
          <w:sz w:val="20"/>
          <w:szCs w:val="20"/>
        </w:rPr>
        <w:t>.</w:t>
      </w:r>
    </w:p>
    <w:p w:rsidR="00837796" w:rsidRPr="00A8191C"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envejecimiento de órganos y sistemas, así como la presentación atípica y simultánea de las enfermedades, hace necesaria la aplicación de un sistema de evaluación especial en los adultos mayores, dinámico y estructurado, que permite detectar y cuantificar los problemas, las necesidades y capacidades de la persona mayor en las esferas clínica, funcional, mental y social para elaborar, basada en ellas, una estrategia interdisciplinar de intervención y seguimiento a largo plazo con el fin de optimizar los recursos, lograr el mayor grado de independencia y una buena calidad de vida</w:t>
      </w:r>
      <w:r w:rsidR="00D159FC">
        <w:rPr>
          <w:rFonts w:ascii="Verdana" w:hAnsi="Verdana" w:cs="Times New Roman"/>
          <w:sz w:val="20"/>
          <w:szCs w:val="20"/>
        </w:rPr>
        <w:t xml:space="preserve"> </w:t>
      </w:r>
      <w:r w:rsidRPr="00D159FC">
        <w:rPr>
          <w:rFonts w:ascii="Verdana" w:hAnsi="Verdana" w:cs="Times New Roman"/>
          <w:b/>
          <w:noProof/>
          <w:sz w:val="20"/>
          <w:szCs w:val="20"/>
          <w:vertAlign w:val="superscript"/>
        </w:rPr>
        <w:t>(Morejón-Márquez, Hernández-Gory, Pujol-Machín, &amp; Falcon-Díaz, 2018)</w:t>
      </w:r>
      <w:r w:rsidRPr="00260B54">
        <w:rPr>
          <w:rFonts w:ascii="Verdana" w:hAnsi="Verdana" w:cs="Times New Roman"/>
          <w:sz w:val="20"/>
          <w:szCs w:val="20"/>
        </w:rPr>
        <w:t>.</w:t>
      </w:r>
    </w:p>
    <w:p w:rsidR="00837796" w:rsidRPr="00892B47"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En los últimos años, en el país se ha incrementado la mortalidad por (ECV), debido a la extensión de la expectativa de vida de los cubanos que es casi de 80 años.5 En el 2012, la tasa de mortalidad por (ECV) fue de 79,4 por 100 mil habitantes, y en el 2013 fue de 80,7.8 Es también la segunda causa de muerte en el grupo </w:t>
      </w:r>
      <w:proofErr w:type="spellStart"/>
      <w:r w:rsidRPr="00260B54">
        <w:rPr>
          <w:rFonts w:ascii="Verdana" w:hAnsi="Verdana" w:cs="Times New Roman"/>
          <w:sz w:val="20"/>
          <w:szCs w:val="20"/>
        </w:rPr>
        <w:t>etáreo</w:t>
      </w:r>
      <w:proofErr w:type="spellEnd"/>
      <w:r w:rsidRPr="00260B54">
        <w:rPr>
          <w:rFonts w:ascii="Verdana" w:hAnsi="Verdana" w:cs="Times New Roman"/>
          <w:sz w:val="20"/>
          <w:szCs w:val="20"/>
        </w:rPr>
        <w:t xml:space="preserve"> mayor de 65 años y es la primera causa de invalidez en el mundo</w:t>
      </w:r>
      <w:r w:rsidRPr="00D159FC">
        <w:rPr>
          <w:rFonts w:ascii="Verdana" w:hAnsi="Verdana" w:cs="Times New Roman"/>
          <w:b/>
          <w:noProof/>
          <w:sz w:val="20"/>
          <w:szCs w:val="20"/>
          <w:vertAlign w:val="superscript"/>
        </w:rPr>
        <w:t xml:space="preserve">(Organización Mundial </w:t>
      </w:r>
      <w:r w:rsidRPr="00D159FC">
        <w:rPr>
          <w:rFonts w:ascii="Verdana" w:hAnsi="Verdana" w:cs="Times New Roman"/>
          <w:b/>
          <w:noProof/>
          <w:sz w:val="20"/>
          <w:szCs w:val="20"/>
          <w:vertAlign w:val="superscript"/>
        </w:rPr>
        <w:lastRenderedPageBreak/>
        <w:t>de la Salud, 2017; Piloto-González, Herrera-Miranda, Ramos-Aguila, Mujica-González, &amp; Gutiérrez-Pérez, 2015; Serra Valdés, Serra Ruíz, &amp; Viera García, 2018)</w:t>
      </w:r>
      <w:r w:rsidRPr="00260B54">
        <w:rPr>
          <w:rFonts w:ascii="Verdana" w:hAnsi="Verdana" w:cs="Times New Roman"/>
          <w:sz w:val="20"/>
          <w:szCs w:val="20"/>
        </w:rPr>
        <w:t>. Múltiples autores afirman que esta enfermedad aumenta su incidencia después de los 60 años, cuando los procesos ateroscleróticos alcanzan su máxima expresión</w:t>
      </w:r>
      <w:r w:rsidR="00D159FC">
        <w:rPr>
          <w:rFonts w:ascii="Verdana" w:hAnsi="Verdana" w:cs="Times New Roman"/>
          <w:sz w:val="20"/>
          <w:szCs w:val="20"/>
        </w:rPr>
        <w:t xml:space="preserve"> </w:t>
      </w:r>
      <w:r w:rsidRPr="00D159FC">
        <w:rPr>
          <w:rFonts w:ascii="Verdana" w:hAnsi="Verdana" w:cs="Times New Roman"/>
          <w:b/>
          <w:noProof/>
          <w:sz w:val="20"/>
          <w:szCs w:val="20"/>
          <w:vertAlign w:val="superscript"/>
        </w:rPr>
        <w:t>(Escobar-Alfonso, Zaldivar-Garit, Rodríguez de la Rosa, &amp; Cabrera-Cordovés, 2014)</w:t>
      </w:r>
      <w:r w:rsidRPr="00260B54">
        <w:rPr>
          <w:rFonts w:ascii="Verdana" w:hAnsi="Verdana" w:cs="Times New Roman"/>
          <w:sz w:val="20"/>
          <w:szCs w:val="20"/>
        </w:rPr>
        <w:t>.</w:t>
      </w:r>
    </w:p>
    <w:p w:rsidR="00837796" w:rsidRPr="00B9763F"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enfermedad cerebrovascular (ECV) es en la actualidad uno de los problemas de salud más importantes, no solo en Cuba, sino en los países desarrollados. A nivel mundial ocupa el segundo lugar como causa de muerte y discapacidad permanente en el adulto. Solo es superada por las enfermedades cardiovasculares y el cáncer, lo que determina su relevancia médica, económica y social, dado el costo en la rehabilitación y los cuidados que requieren los pacientes con significativos daños neurológicos. Constituye la tercera causa de muerte en Cuba y en la mayoría de los países desarrollados. Su aparición y tórpida evolución tiene estrecha relación con la existencia de enfermedades o factores de riesgo como: diabetes mellitus, hipertensión arterial (HTA), enfermedades cardíacas, accidentes vasculares encefálicos previos, tabaquismo y obesidad. La isquemia cerebral es la causa de la mayoría de los ictus, tanto de tipo trombótico como embólico; sus consecuencias causan postración e incapacidad</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(González &amp; Campillo, 2007)</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Las enfermedades cerebrovasculares están relacionadas con un largo período de incapacidad laboral, alto grado de invalidez y notable dificultad para la readaptación social y laboral. Es la causa más mortal e incapacitante de las enfermedades neurológicas</w:t>
      </w:r>
      <w:r w:rsidR="002A4184">
        <w:rPr>
          <w:rFonts w:ascii="Verdana" w:hAnsi="Verdana" w:cs="Times New Roman"/>
          <w:sz w:val="20"/>
          <w:szCs w:val="20"/>
        </w:rPr>
        <w:t xml:space="preserve"> </w:t>
      </w:r>
      <w:r>
        <w:rPr>
          <w:rFonts w:ascii="Verdana" w:hAnsi="Verdana" w:cs="Times New Roman"/>
          <w:noProof/>
          <w:sz w:val="20"/>
          <w:szCs w:val="20"/>
        </w:rPr>
        <w:t>(Piloto-González et al., 2015)</w:t>
      </w:r>
      <w:r w:rsidRPr="00260B54">
        <w:rPr>
          <w:rFonts w:ascii="Verdana" w:hAnsi="Verdana" w:cs="Times New Roman"/>
          <w:sz w:val="20"/>
          <w:szCs w:val="20"/>
        </w:rPr>
        <w:t>.</w:t>
      </w:r>
    </w:p>
    <w:p w:rsidR="00837796" w:rsidRPr="00B9763F"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diabetes mellitus es una de las enfermedades con mayor impacto sociosanitario, no sólo por su elevada frecuencia, sino, sobre todo, por las consecuencias de las complicaciones crónicas que comporta esta enfermedad, el importante papel que desempeña como factor de riesgo de aterosclerosis y de patología cardiovascular. Un 90% de los diabéticos presenta diabetes tipo 2 y su prevalencia está aumentando en todo el mundo occidental como consecuencia del envejecimiento de la población y el aumento de la obesidad y los hábitos de vida sedentarios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(Bosch, Alfonso, &amp; Bermejo, 2002)</w:t>
      </w:r>
      <w:r w:rsidRPr="00260B54">
        <w:rPr>
          <w:rFonts w:ascii="Verdana" w:hAnsi="Verdana" w:cs="Times New Roman"/>
          <w:sz w:val="20"/>
          <w:szCs w:val="20"/>
        </w:rPr>
        <w:t>.</w:t>
      </w:r>
    </w:p>
    <w:p w:rsidR="00837796" w:rsidRPr="00B9763F"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En los EE.UU. se estima que los fallecimientos de pacientes con diabetes suponen del 15 al 20% de todas las muertes en la población mayor de 25 años, y estas cifras se duplican en pacientes con edad superior a 40 años.</w:t>
      </w:r>
      <w:r w:rsidR="00D159FC">
        <w:rPr>
          <w:rFonts w:ascii="Verdana" w:hAnsi="Verdana" w:cs="Times New Roman"/>
          <w:sz w:val="20"/>
          <w:szCs w:val="20"/>
        </w:rPr>
        <w:t xml:space="preserve"> </w:t>
      </w:r>
      <w:r w:rsidRPr="00260B54">
        <w:rPr>
          <w:rFonts w:ascii="Verdana" w:hAnsi="Verdana" w:cs="Times New Roman"/>
          <w:sz w:val="20"/>
          <w:szCs w:val="20"/>
        </w:rPr>
        <w:t xml:space="preserve">En el caso de individuos genéticamente predispuestos, la obesidad y el sedentarismo conducen a la resistencia a la insulina, estado que precede a la diabetes tipo 2 y que suele acompañarse de otros factores de riesgo cardiovascular como la dislipidemia, la </w:t>
      </w:r>
      <w:r w:rsidRPr="00260B54">
        <w:rPr>
          <w:rFonts w:ascii="Verdana" w:hAnsi="Verdana" w:cs="Times New Roman"/>
          <w:sz w:val="20"/>
          <w:szCs w:val="20"/>
        </w:rPr>
        <w:lastRenderedPageBreak/>
        <w:t>hipertensión y factores protrombóticos6. La frecuente asociación en un mismo individuo de estos factores de riesgo es lo que se denomina el síndrome metabólico. La evidencia clínica de resistencia a la insulina incluye la obesidad abdominal, hipertensión arterial leve, elevación ligera de los triglicéridos (150-250 mg/dl), disminución del colesterol HDL (</w:t>
      </w:r>
      <w:proofErr w:type="spellStart"/>
      <w:r w:rsidRPr="00260B54">
        <w:rPr>
          <w:rFonts w:ascii="Verdana" w:hAnsi="Verdana" w:cs="Times New Roman"/>
          <w:sz w:val="20"/>
          <w:szCs w:val="20"/>
        </w:rPr>
        <w:t>cHDL</w:t>
      </w:r>
      <w:proofErr w:type="spellEnd"/>
      <w:r w:rsidRPr="00260B54">
        <w:rPr>
          <w:rFonts w:ascii="Verdana" w:hAnsi="Verdana" w:cs="Times New Roman"/>
          <w:sz w:val="20"/>
          <w:szCs w:val="20"/>
        </w:rPr>
        <w:t>), ligera elevación del colesterol LDL (</w:t>
      </w:r>
      <w:proofErr w:type="spellStart"/>
      <w:r w:rsidRPr="00260B54">
        <w:rPr>
          <w:rFonts w:ascii="Verdana" w:hAnsi="Verdana" w:cs="Times New Roman"/>
          <w:sz w:val="20"/>
          <w:szCs w:val="20"/>
        </w:rPr>
        <w:t>cLDL</w:t>
      </w:r>
      <w:proofErr w:type="spellEnd"/>
      <w:r w:rsidRPr="00260B54">
        <w:rPr>
          <w:rFonts w:ascii="Verdana" w:hAnsi="Verdana" w:cs="Times New Roman"/>
          <w:sz w:val="20"/>
          <w:szCs w:val="20"/>
        </w:rPr>
        <w:t>) (130-159 mg/dl) y, en algunos casos, hiperglucemia leve (110-126 mg/dl). El reconocimiento de este síndrome es fundamental para la prevención primaria de la enfermedad cardiovascular que constituye la causa de muerte en dos tercios de los pacientes diabéticos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(Bosch et al., 2002)</w:t>
      </w:r>
      <w:r w:rsidRPr="00260B54">
        <w:rPr>
          <w:rFonts w:ascii="Verdana" w:hAnsi="Verdana" w:cs="Times New Roman"/>
          <w:sz w:val="20"/>
          <w:szCs w:val="20"/>
        </w:rPr>
        <w:t>.</w:t>
      </w:r>
    </w:p>
    <w:p w:rsidR="00837796" w:rsidRPr="00B9763F"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Los pacientes diabéticos tienen una mayor probabilidad de presentar un síndrome coronario agudo o, incluso, muerte súbita de forma silente. Por ello, es esencial detectar la aparición inicial de enfermedad cardiovascular en estos pacientes. Una de las principales razones del mal pronóstico de los pacientes con diabetes y cardiopatía isquémica es la mayor prevalencia de disfunción ventricular9 y de insuficiencia cardíaca, lo que ha venido en llamarse la miocardiopatía diabética. La diabetes aumenta también el riesgo de aterosclerosis carotídea; alrededor del 13% de los pacientes diabéticos de más de 65 años ha sufrido un accidente cardiovascular. La mortalidad por accidente cerebrovascular es casi el triple entre los pacientes diabéticos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(Bosch et al., 2002)</w:t>
      </w:r>
      <w:r w:rsidRPr="00260B54">
        <w:rPr>
          <w:rFonts w:ascii="Verdana" w:hAnsi="Verdana" w:cs="Times New Roman"/>
          <w:sz w:val="20"/>
          <w:szCs w:val="20"/>
        </w:rPr>
        <w:t>.</w:t>
      </w:r>
    </w:p>
    <w:p w:rsidR="00837796" w:rsidRPr="008D4248"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Las enfermedades neurodegenerativas (END) incluyen numerosos procesos, que están adquiriendo un gran protagonismo debido al envejecimiento de la población, dada su alta prevalencia y coste social.Definimos enfermedades neurodegenerativa aquellas patologías, hereditarias o adquiridas, en las que se produce una disfunción progresiva del Sistema Nervioso Central (SNC). De acuerdo con el </w:t>
      </w:r>
      <w:proofErr w:type="spellStart"/>
      <w:r w:rsidRPr="00260B54">
        <w:rPr>
          <w:rFonts w:ascii="Verdana" w:hAnsi="Verdana" w:cs="Times New Roman"/>
          <w:sz w:val="20"/>
          <w:szCs w:val="20"/>
        </w:rPr>
        <w:t>National</w:t>
      </w:r>
      <w:proofErr w:type="spellEnd"/>
      <w:r w:rsidR="002A4184">
        <w:rPr>
          <w:rFonts w:ascii="Verdana" w:hAnsi="Verdana" w:cs="Times New Roman"/>
          <w:sz w:val="20"/>
          <w:szCs w:val="20"/>
        </w:rPr>
        <w:t xml:space="preserve"> </w:t>
      </w:r>
      <w:proofErr w:type="spellStart"/>
      <w:r w:rsidRPr="00260B54">
        <w:rPr>
          <w:rFonts w:ascii="Verdana" w:hAnsi="Verdana" w:cs="Times New Roman"/>
          <w:sz w:val="20"/>
          <w:szCs w:val="20"/>
        </w:rPr>
        <w:t>Institute</w:t>
      </w:r>
      <w:proofErr w:type="spellEnd"/>
      <w:r w:rsidR="002A4184">
        <w:rPr>
          <w:rFonts w:ascii="Verdana" w:hAnsi="Verdana" w:cs="Times New Roman"/>
          <w:sz w:val="20"/>
          <w:szCs w:val="20"/>
        </w:rPr>
        <w:t xml:space="preserve"> </w:t>
      </w:r>
      <w:r w:rsidRPr="00260B54">
        <w:rPr>
          <w:rFonts w:ascii="Verdana" w:hAnsi="Verdana" w:cs="Times New Roman"/>
          <w:sz w:val="20"/>
          <w:szCs w:val="20"/>
        </w:rPr>
        <w:t>of</w:t>
      </w:r>
      <w:r w:rsidR="002A4184">
        <w:rPr>
          <w:rFonts w:ascii="Verdana" w:hAnsi="Verdana" w:cs="Times New Roman"/>
          <w:sz w:val="20"/>
          <w:szCs w:val="20"/>
        </w:rPr>
        <w:t xml:space="preserve"> </w:t>
      </w:r>
      <w:proofErr w:type="spellStart"/>
      <w:r w:rsidRPr="00260B54">
        <w:rPr>
          <w:rFonts w:ascii="Verdana" w:hAnsi="Verdana" w:cs="Times New Roman"/>
          <w:sz w:val="20"/>
          <w:szCs w:val="20"/>
        </w:rPr>
        <w:t>Neurological</w:t>
      </w:r>
      <w:proofErr w:type="spellEnd"/>
      <w:r w:rsidR="002A4184">
        <w:rPr>
          <w:rFonts w:ascii="Verdana" w:hAnsi="Verdana" w:cs="Times New Roman"/>
          <w:sz w:val="20"/>
          <w:szCs w:val="20"/>
        </w:rPr>
        <w:t xml:space="preserve"> </w:t>
      </w:r>
      <w:proofErr w:type="spellStart"/>
      <w:r w:rsidRPr="00260B54">
        <w:rPr>
          <w:rFonts w:ascii="Verdana" w:hAnsi="Verdana" w:cs="Times New Roman"/>
          <w:sz w:val="20"/>
          <w:szCs w:val="20"/>
        </w:rPr>
        <w:t>Disorder</w:t>
      </w:r>
      <w:proofErr w:type="spellEnd"/>
      <w:r w:rsidRPr="00260B54">
        <w:rPr>
          <w:rFonts w:ascii="Verdana" w:hAnsi="Verdana" w:cs="Times New Roman"/>
          <w:sz w:val="20"/>
          <w:szCs w:val="20"/>
        </w:rPr>
        <w:t xml:space="preserve"> and </w:t>
      </w:r>
      <w:proofErr w:type="spellStart"/>
      <w:r w:rsidRPr="00260B54">
        <w:rPr>
          <w:rFonts w:ascii="Verdana" w:hAnsi="Verdana" w:cs="Times New Roman"/>
          <w:sz w:val="20"/>
          <w:szCs w:val="20"/>
        </w:rPr>
        <w:t>Stroke</w:t>
      </w:r>
      <w:proofErr w:type="spellEnd"/>
      <w:r w:rsidR="002A4184">
        <w:rPr>
          <w:rFonts w:ascii="Verdana" w:hAnsi="Verdana" w:cs="Times New Roman"/>
          <w:sz w:val="20"/>
          <w:szCs w:val="20"/>
        </w:rPr>
        <w:t xml:space="preserve"> </w:t>
      </w:r>
      <w:proofErr w:type="spellStart"/>
      <w:r w:rsidRPr="00260B54">
        <w:rPr>
          <w:rFonts w:ascii="Verdana" w:hAnsi="Verdana" w:cs="Times New Roman"/>
          <w:sz w:val="20"/>
          <w:szCs w:val="20"/>
        </w:rPr>
        <w:t>Study</w:t>
      </w:r>
      <w:proofErr w:type="spellEnd"/>
      <w:r w:rsidRPr="00260B54">
        <w:rPr>
          <w:rFonts w:ascii="Verdana" w:hAnsi="Verdana" w:cs="Times New Roman"/>
          <w:sz w:val="20"/>
          <w:szCs w:val="20"/>
        </w:rPr>
        <w:t xml:space="preserve"> (NINDSS) (1) hay más de 600 END entre las que destacan por su alta prevalencia y gravedad, la Enfermedad de Alzheimer (EA), la Enfermedad de Parkinson (EP), la Enfermedad de Huntington (EH) y la Esclerosis Lateral Amiotrófica (ELA) y la Esclerosis Múltiple (EM</w:t>
      </w:r>
      <w:r w:rsidRPr="00D159FC">
        <w:rPr>
          <w:rFonts w:ascii="Verdana" w:hAnsi="Verdana" w:cs="Times New Roman"/>
          <w:b/>
          <w:sz w:val="20"/>
          <w:szCs w:val="20"/>
          <w:vertAlign w:val="superscript"/>
        </w:rPr>
        <w:t>)</w:t>
      </w:r>
      <w:r w:rsidRPr="00D159FC">
        <w:rPr>
          <w:rFonts w:ascii="Verdana" w:hAnsi="Verdana" w:cs="Times New Roman"/>
          <w:b/>
          <w:noProof/>
          <w:sz w:val="20"/>
          <w:szCs w:val="20"/>
          <w:vertAlign w:val="superscript"/>
        </w:rPr>
        <w:t>(Ministerio de Sanidad, 2016)</w:t>
      </w:r>
      <w:r w:rsidRPr="00260B54">
        <w:rPr>
          <w:rFonts w:ascii="Verdana" w:hAnsi="Verdana" w:cs="Times New Roman"/>
          <w:sz w:val="20"/>
          <w:szCs w:val="20"/>
        </w:rPr>
        <w:t>.</w:t>
      </w:r>
    </w:p>
    <w:p w:rsidR="00837796" w:rsidRPr="008D4248"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mayoría de estas enfermedades se caracterizan por un mecanismo patogénico común consistente en agregación y acumulación de proteínas mal plegadas que se depositan en forma de agregados intracelulares o extracelulares y producen la muerte celular.Muchas enfermedades neurodegenerativas están ligadas a la edad, por lo que el progresivo envejecimiento de la población en los países desarrollados supone un aumento de la prevalencia de este tipo de patologías</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(Ministerio de Sanidad, 2016)</w:t>
      </w:r>
      <w:r w:rsidRPr="00260B54">
        <w:rPr>
          <w:rFonts w:ascii="Verdana" w:hAnsi="Verdana" w:cs="Times New Roman"/>
          <w:sz w:val="20"/>
          <w:szCs w:val="20"/>
        </w:rPr>
        <w:t>.</w:t>
      </w:r>
    </w:p>
    <w:p w:rsidR="00837796" w:rsidRPr="008D4248"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lastRenderedPageBreak/>
        <w:t>Dos de estas enfermedades crónicas que tienen un alto impacto en la población son la Diabetes Mellitus y la Enfermedad de Alzheimer (EA)</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(Romano-Martín, Nissen-María, Del Huerto Paredes, &amp; Parquet, 2007)</w:t>
      </w:r>
      <w:r w:rsidRPr="00260B54">
        <w:rPr>
          <w:rFonts w:ascii="Verdana" w:hAnsi="Verdana" w:cs="Times New Roman"/>
          <w:sz w:val="20"/>
          <w:szCs w:val="20"/>
        </w:rPr>
        <w:t>.</w:t>
      </w:r>
    </w:p>
    <w:p w:rsidR="00837796" w:rsidRPr="004B22A6"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EA se define como “Atrofia cerebral difusa, asociada generalmente con demencia, que se presenta de ordinario en la edad senil”. Por otro lado según la OMS, la EA se define como una dolencia degenerativa cerebral primaria, de etiología desconocida, que presenta síntomas neuropatológicos y neuroquímicos característicos. Es un trastorno neurológico que provoca la muerte de las células nerviosas del cerebro. Por lo general, la Enfermedad de Alzheimer comienza paulatinamente y sus primeros síntomas pueden atribuirse a la vejez o al olvido común. A medida en que avanza la enfermedad, se van deteriorando las capacidades cognitivas, entre ellas la capacidad para tomar decisiones y llevar a cabo las tareas cotidianas, y pueden surgir modificaciones de la personalidad, así como conductas problemáticas. En sus etapas avanzadas, la Enfermedad de Alzheimer conduce a la demencia y finalmente a la muerte</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(Romano-Martín et al., 2007)</w:t>
      </w:r>
      <w:r w:rsidRPr="00260B54">
        <w:rPr>
          <w:rFonts w:ascii="Verdana" w:hAnsi="Verdana" w:cs="Times New Roman"/>
          <w:sz w:val="20"/>
          <w:szCs w:val="20"/>
        </w:rPr>
        <w:t xml:space="preserve">. </w:t>
      </w:r>
    </w:p>
    <w:p w:rsidR="00837796" w:rsidRPr="004B22A6"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Inicialmente la EA fue considerada como una enfermedad crónica de difícil prevención, ya que se asoció principalmente a la edad y la carga genética. Con el paso de los años los nuevos estudios determinaron que si bien era cierto que existía un riesgo genético y de la edad, también existía una importante aportación de otros factores relacionados con los estilos de vida no saludables. De esta forma los últimos estudios realizados comienzan a relacionar la EA con la DM e intentan establecer mecanismos que expliquen esta relación</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(Red de grupos de estudio de la diabetes, 2015)</w:t>
      </w:r>
      <w:r w:rsidRPr="00260B54">
        <w:rPr>
          <w:rFonts w:ascii="Verdana" w:hAnsi="Verdana" w:cs="Times New Roman"/>
          <w:sz w:val="20"/>
          <w:szCs w:val="20"/>
        </w:rPr>
        <w:t>.</w:t>
      </w:r>
    </w:p>
    <w:p w:rsidR="00837796" w:rsidRPr="004B22A6"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enfermedad de Parkinson (EP) es el segundo trastorno neurodegenerativo más prevalente en la actualidad. Son síntomas no motores de la EP las alteraciones cognitivo-conductuales, los trastornos del sueño, los síntomas sensitivos (anosmia y dolor) y los síntomas autonómicos (disfunción urogenital, estreñimiento e hipotensión ortostática). Los síntomas no motores de la EP constituyen a largo plazolos problemas más prevalentes e incapacitantes de la enfermedad.Varias investigaciones han sugerido un vínculo entre la hipertensión y la enfermedad de Parkinson</w:t>
      </w:r>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(Pérez, 2017)</w:t>
      </w:r>
      <w:r w:rsidRPr="00260B54">
        <w:rPr>
          <w:rFonts w:ascii="Verdana" w:hAnsi="Verdana" w:cs="Times New Roman"/>
          <w:sz w:val="20"/>
          <w:szCs w:val="20"/>
        </w:rPr>
        <w:t>.</w:t>
      </w:r>
    </w:p>
    <w:p w:rsidR="00837796" w:rsidRPr="003A2A01"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En el año 2008, aparece en la literatura una de los primeros estudios que ligan a la enfermedad de Parkinson con la Diabetes </w:t>
      </w:r>
      <w:proofErr w:type="spellStart"/>
      <w:r w:rsidRPr="00260B54">
        <w:rPr>
          <w:rFonts w:ascii="Verdana" w:hAnsi="Verdana" w:cs="Times New Roman"/>
          <w:sz w:val="20"/>
          <w:szCs w:val="20"/>
        </w:rPr>
        <w:t>Mellitus</w:t>
      </w:r>
      <w:proofErr w:type="spellEnd"/>
      <w:r w:rsidR="002A4184">
        <w:rPr>
          <w:rFonts w:ascii="Verdana" w:hAnsi="Verdana" w:cs="Times New Roman"/>
          <w:sz w:val="20"/>
          <w:szCs w:val="20"/>
        </w:rPr>
        <w:t xml:space="preserve"> </w:t>
      </w:r>
      <w:r w:rsidRPr="00D159FC">
        <w:rPr>
          <w:rFonts w:ascii="Verdana" w:hAnsi="Verdana" w:cs="Times New Roman"/>
          <w:b/>
          <w:noProof/>
          <w:sz w:val="20"/>
          <w:szCs w:val="20"/>
          <w:vertAlign w:val="superscript"/>
        </w:rPr>
        <w:t>(Driver et al., 2008)</w:t>
      </w:r>
      <w:r w:rsidRPr="00260B54">
        <w:rPr>
          <w:rFonts w:ascii="Verdana" w:hAnsi="Verdana" w:cs="Times New Roman"/>
          <w:sz w:val="20"/>
          <w:szCs w:val="20"/>
        </w:rPr>
        <w:t>.</w:t>
      </w:r>
    </w:p>
    <w:p w:rsidR="00837796" w:rsidRPr="006405D5"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En los pacientes parkinsonianos hipertensos, se halló que tienen más rigidez y una evolución más agresiva, en comparación con los no hipertensos”.La hipertensión </w:t>
      </w:r>
      <w:r w:rsidRPr="00260B54">
        <w:rPr>
          <w:rFonts w:ascii="Verdana" w:hAnsi="Verdana" w:cs="Times New Roman"/>
          <w:sz w:val="20"/>
          <w:szCs w:val="20"/>
        </w:rPr>
        <w:lastRenderedPageBreak/>
        <w:t>arterial está presente en 5 de cada 10 personas con Parkinson (el 48%).Otra situación que es importante tener en cuenta es que el 40% de los hipertensos que tienen enfermedad de Parkinson presentan presión alta también durante el descanso nocturno</w:t>
      </w:r>
      <w:r w:rsidR="00B6640F">
        <w:rPr>
          <w:rFonts w:ascii="Verdana" w:hAnsi="Verdana" w:cs="Times New Roman"/>
          <w:sz w:val="20"/>
          <w:szCs w:val="20"/>
        </w:rPr>
        <w:t xml:space="preserve"> </w:t>
      </w:r>
      <w:r w:rsidRPr="00B6640F">
        <w:rPr>
          <w:rFonts w:ascii="Verdana" w:hAnsi="Verdana" w:cs="Times New Roman"/>
          <w:b/>
          <w:noProof/>
          <w:sz w:val="20"/>
          <w:szCs w:val="20"/>
          <w:vertAlign w:val="superscript"/>
        </w:rPr>
        <w:t>(Driver et al., 2008; Martín, Peña, &amp; Gutiérrez, 2017; Ng, Chander, Tan, &amp; Kandiah, 2015; Pérez, 2017; Yang et al., 2017)</w:t>
      </w:r>
      <w:r w:rsidRPr="00260B54">
        <w:rPr>
          <w:rFonts w:ascii="Verdana" w:hAnsi="Verdana" w:cs="Times New Roman"/>
          <w:sz w:val="20"/>
          <w:szCs w:val="20"/>
        </w:rPr>
        <w:t>.</w:t>
      </w:r>
    </w:p>
    <w:p w:rsidR="00837796" w:rsidRPr="006405D5"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esclerosis lateral amiotrófica (ELA), junto a sus variantes (esclerosis lateral primara, atrofia muscular progresiva y parálisis bulbar progresiva), es la enfermedad de neurona motora más frecuente del adulto. Es una enfermedad del sistema nervioso central, caracterizada por una degeneración progresiva de las neuronas motoras en la corteza cerebral (neuronas motoras superiores), tronco del encéfalo y médula espinal (neuronas motoras inferiores). La consecuencia es una debilidad muscular que avanza hasta la parálisis, extendiéndose de unas regiones corporales a otras. Amenaza la autonomía motora, la comunicación oral, la deglución y la respiración, característicamente la enfermedad no afecta a la musculatura ocular, esfinteriana ni a las fibras sensitivas. El paciente necesita cada vez más ayuda para realizar las actividades de la vida diaria, volviéndose más dependiente y habitualmente fallece por insuficiencia respiratoria</w:t>
      </w:r>
      <w:r w:rsidR="002A4184">
        <w:rPr>
          <w:rFonts w:ascii="Verdana" w:hAnsi="Verdana" w:cs="Times New Roman"/>
          <w:sz w:val="20"/>
          <w:szCs w:val="20"/>
        </w:rPr>
        <w:t xml:space="preserve"> </w:t>
      </w:r>
      <w:r w:rsidRPr="00B6640F">
        <w:rPr>
          <w:rFonts w:ascii="Verdana" w:hAnsi="Verdana" w:cs="Times New Roman"/>
          <w:b/>
          <w:noProof/>
          <w:sz w:val="20"/>
          <w:szCs w:val="20"/>
          <w:vertAlign w:val="superscript"/>
        </w:rPr>
        <w:t>(Pérez, 2017; Pfeiffer, 2016; Sáez-Francàs et al., 2016; Vásquez-Celaya, Tamariz-Rodríguez, Gutiérrez-Pérez, &amp; Márquez, 2019)</w:t>
      </w:r>
      <w:r w:rsidRPr="00260B54">
        <w:rPr>
          <w:rFonts w:ascii="Verdana" w:hAnsi="Verdana" w:cs="Times New Roman"/>
          <w:sz w:val="20"/>
          <w:szCs w:val="20"/>
        </w:rPr>
        <w:t>.</w:t>
      </w:r>
    </w:p>
    <w:p w:rsidR="00837796" w:rsidRPr="006405D5"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ELA es la tercera enfermedad neurodegenerativa en incidencia, tras la demencia y la enfermedad de Parkinson.La edad media de inicio se encuentra entre los 60-69 años, con un pico de incidencia a los 70-75 años y una disminución de la incidencia en edades superiores (a diferencia de lo que ocurre con la enfermedad de Parkinson o con la demencia tipo Alzheimer)</w:t>
      </w:r>
      <w:r w:rsidR="00B6640F">
        <w:rPr>
          <w:rFonts w:ascii="Verdana" w:hAnsi="Verdana" w:cs="Times New Roman"/>
          <w:sz w:val="20"/>
          <w:szCs w:val="20"/>
        </w:rPr>
        <w:t xml:space="preserve"> </w:t>
      </w:r>
      <w:r w:rsidRPr="00B6640F">
        <w:rPr>
          <w:rFonts w:ascii="Verdana" w:hAnsi="Verdana" w:cs="Times New Roman"/>
          <w:b/>
          <w:noProof/>
          <w:sz w:val="20"/>
          <w:szCs w:val="20"/>
          <w:vertAlign w:val="superscript"/>
        </w:rPr>
        <w:t>(Pérez, 2017)</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b/>
          <w:sz w:val="20"/>
          <w:szCs w:val="20"/>
          <w:u w:val="single"/>
        </w:rPr>
      </w:pPr>
      <w:r w:rsidRPr="00260B54">
        <w:rPr>
          <w:rFonts w:ascii="Verdana" w:hAnsi="Verdana" w:cs="Times New Roman"/>
          <w:b/>
          <w:sz w:val="20"/>
          <w:szCs w:val="20"/>
          <w:u w:val="single"/>
        </w:rPr>
        <w:t>Actividad física en el adulto mayor</w:t>
      </w:r>
    </w:p>
    <w:p w:rsidR="00837796" w:rsidRPr="00904228"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Es importante definir conceptualmente a la actividad física, entendida como “cualquier movimiento corporal intencional, realizado con los músculos esqueléticos, que resulta en un gasto de energía y en una experiencia personal, y nos permite interactuar con los seres y el ambiente que nos rodea</w:t>
      </w:r>
      <w:r w:rsidRPr="00B6640F">
        <w:rPr>
          <w:rFonts w:ascii="Verdana" w:hAnsi="Verdana" w:cs="Times New Roman"/>
          <w:b/>
          <w:sz w:val="20"/>
          <w:szCs w:val="20"/>
          <w:vertAlign w:val="superscript"/>
        </w:rPr>
        <w:t>”</w:t>
      </w:r>
      <w:r w:rsidR="00B6640F">
        <w:rPr>
          <w:rFonts w:ascii="Verdana" w:hAnsi="Verdana" w:cs="Times New Roman"/>
          <w:b/>
          <w:sz w:val="20"/>
          <w:szCs w:val="20"/>
          <w:vertAlign w:val="superscript"/>
        </w:rPr>
        <w:t xml:space="preserve"> </w:t>
      </w:r>
      <w:r w:rsidRPr="00B6640F">
        <w:rPr>
          <w:rFonts w:ascii="Verdana" w:hAnsi="Verdana" w:cs="Times New Roman"/>
          <w:b/>
          <w:noProof/>
          <w:sz w:val="20"/>
          <w:szCs w:val="20"/>
          <w:vertAlign w:val="superscript"/>
        </w:rPr>
        <w:t>(Red de grupos de estudio de la diabetes, 2015)</w:t>
      </w:r>
      <w:r w:rsidRPr="00260B54">
        <w:rPr>
          <w:rFonts w:ascii="Verdana" w:hAnsi="Verdana" w:cs="Times New Roman"/>
          <w:sz w:val="20"/>
          <w:szCs w:val="20"/>
        </w:rPr>
        <w:t xml:space="preserve">. Este autor, al igual que </w:t>
      </w:r>
      <w:r w:rsidRPr="00B6640F">
        <w:rPr>
          <w:rFonts w:ascii="Verdana" w:hAnsi="Verdana" w:cs="Times New Roman"/>
          <w:noProof/>
          <w:sz w:val="20"/>
          <w:szCs w:val="20"/>
        </w:rPr>
        <w:t>(Gauvin, Wall, &amp; Quinney, 1994)</w:t>
      </w:r>
      <w:r w:rsidR="00B6640F">
        <w:rPr>
          <w:rFonts w:ascii="Verdana" w:hAnsi="Verdana" w:cs="Times New Roman"/>
          <w:noProof/>
          <w:sz w:val="20"/>
          <w:szCs w:val="20"/>
        </w:rPr>
        <w:t xml:space="preserve"> </w:t>
      </w:r>
      <w:r w:rsidRPr="00260B54">
        <w:rPr>
          <w:rFonts w:ascii="Verdana" w:hAnsi="Verdana" w:cs="Times New Roman"/>
          <w:sz w:val="20"/>
          <w:szCs w:val="20"/>
        </w:rPr>
        <w:t xml:space="preserve">y </w:t>
      </w:r>
      <w:r>
        <w:rPr>
          <w:rFonts w:ascii="Verdana" w:hAnsi="Verdana" w:cs="Times New Roman"/>
          <w:noProof/>
          <w:sz w:val="20"/>
          <w:szCs w:val="20"/>
        </w:rPr>
        <w:t>(Shephard, 1995)</w:t>
      </w:r>
      <w:r w:rsidRPr="00260B54">
        <w:rPr>
          <w:rFonts w:ascii="Verdana" w:hAnsi="Verdana" w:cs="Times New Roman"/>
          <w:sz w:val="20"/>
          <w:szCs w:val="20"/>
        </w:rPr>
        <w:t>, incluyen dentro del concepto actividad física las prácticas cotidianas, como caminar, las actividades laborales y domésticas, así como otras más organizadas y repetitivas, como el ejercicio físico, y las actividades de carácter competitivo como los deportes. Esta amplitud y globalidad de la actividad física la convierten en un concepto más relacionado con la promoción de los estilos de vida activos</w:t>
      </w:r>
      <w:r w:rsidR="002A4184">
        <w:rPr>
          <w:rFonts w:ascii="Verdana" w:hAnsi="Verdana" w:cs="Times New Roman"/>
          <w:sz w:val="20"/>
          <w:szCs w:val="20"/>
        </w:rPr>
        <w:t xml:space="preserve"> </w:t>
      </w:r>
      <w:r w:rsidRPr="00B6640F">
        <w:rPr>
          <w:rFonts w:ascii="Verdana" w:hAnsi="Verdana" w:cs="Times New Roman"/>
          <w:b/>
          <w:noProof/>
          <w:sz w:val="20"/>
          <w:szCs w:val="20"/>
          <w:vertAlign w:val="superscript"/>
        </w:rPr>
        <w:t>(Devís, 2000; Gauvin et al., 1994; Shephard, 1995)</w:t>
      </w:r>
      <w:r w:rsidRPr="00260B54">
        <w:rPr>
          <w:rFonts w:ascii="Verdana" w:hAnsi="Verdana" w:cs="Times New Roman"/>
          <w:sz w:val="20"/>
          <w:szCs w:val="20"/>
        </w:rPr>
        <w:t>.</w:t>
      </w:r>
    </w:p>
    <w:p w:rsidR="00837796" w:rsidRPr="00DA6C6B"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lastRenderedPageBreak/>
        <w:t>La OPS define operacionalmente la actividad física como “todos los movimientos de la vida cotidiana, como trabajo, actividades diarias, recreación, ejercicio y actividades deportivas”. Los beneficios de la actividad física regular para las personas mayores pueden ser muy pertinentes para evitar, reducir al mínimo o revertir muchos problemas físicos, psicológicos y sociales que acompañan el proceso de envejecimiento. Por lo anterior, el grupo que puede obtener más beneficio con el ejercicio regular es el de las personas mayores. El ejercicio aeróbico se recomienda ampliamente para prevenir y tratar muchas enfermedades crónicas relacionadas con la vejez. Algunas investigaciones al respecto indican que el entrenamiento físico es necesario para detener o revertir la sarcopenia y aumentar la densidad ósea. El incremento de la fuerza y la masa muscular es una estrategia realista para mantener el estado funcional y la independencia de los adultos mayores</w:t>
      </w:r>
      <w:r w:rsidR="002A4184">
        <w:rPr>
          <w:rFonts w:ascii="Verdana" w:hAnsi="Verdana" w:cs="Times New Roman"/>
          <w:sz w:val="20"/>
          <w:szCs w:val="20"/>
        </w:rPr>
        <w:t xml:space="preserve"> </w:t>
      </w:r>
      <w:r w:rsidRPr="00B6640F">
        <w:rPr>
          <w:rFonts w:ascii="Verdana" w:hAnsi="Verdana" w:cs="Times New Roman"/>
          <w:b/>
          <w:noProof/>
          <w:sz w:val="20"/>
          <w:szCs w:val="20"/>
          <w:vertAlign w:val="superscript"/>
        </w:rPr>
        <w:t>(Organización Panamericana de la Salud, 2006)</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 condición física de los adultos mayores (y con la cual coincidimos los autores) es “la habilidad para llevar a cabo las tareas diarias con vigor y vigilancia, sin fatiga indebida y con energía suficiente para disfrutar de las actividades del tiempo libre y afrontar situaciones inesperadas”</w:t>
      </w:r>
      <w:r w:rsidR="002A4184">
        <w:rPr>
          <w:rFonts w:ascii="Verdana" w:hAnsi="Verdana" w:cs="Times New Roman"/>
          <w:sz w:val="20"/>
          <w:szCs w:val="20"/>
        </w:rPr>
        <w:t xml:space="preserve"> </w:t>
      </w:r>
      <w:r w:rsidRPr="00B6640F">
        <w:rPr>
          <w:rFonts w:ascii="Verdana" w:hAnsi="Verdana" w:cs="Times New Roman"/>
          <w:b/>
          <w:noProof/>
          <w:sz w:val="20"/>
          <w:szCs w:val="20"/>
          <w:vertAlign w:val="superscript"/>
        </w:rPr>
        <w:t>(President´s Council on Physical Fitness and Sports, 1971)</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Las cualidades físicas o los componentes asociados con la condición física inciden en la mejora y desarrollo de las capacidades físicas de las personas para la ejecución motriz; sin embargo, existe falta de uniformidad cuando se trata de integrar los factores que intervienen en la condición física.Las cualidades físicas básicas o condicionales se conocen también como orgánico-funcionales, pues dependen del trabajo de contracción muscular y de la energía necesaria para este trabajo</w:t>
      </w:r>
      <w:r w:rsidR="00B6640F">
        <w:rPr>
          <w:rFonts w:ascii="Verdana" w:hAnsi="Verdana" w:cs="Times New Roman"/>
          <w:sz w:val="20"/>
          <w:szCs w:val="20"/>
        </w:rPr>
        <w:t xml:space="preserve"> </w:t>
      </w:r>
      <w:r w:rsidRPr="00B6640F">
        <w:rPr>
          <w:rFonts w:ascii="Verdana" w:hAnsi="Verdana" w:cs="Times New Roman"/>
          <w:b/>
          <w:noProof/>
          <w:sz w:val="20"/>
          <w:szCs w:val="20"/>
          <w:vertAlign w:val="superscript"/>
        </w:rPr>
        <w:t>(Pate, 1988)</w:t>
      </w:r>
      <w:r w:rsidRPr="00260B54">
        <w:rPr>
          <w:rFonts w:ascii="Verdana" w:hAnsi="Verdana" w:cs="Times New Roman"/>
          <w:sz w:val="20"/>
          <w:szCs w:val="20"/>
        </w:rPr>
        <w:t>.</w:t>
      </w:r>
    </w:p>
    <w:p w:rsidR="00837796" w:rsidRPr="00260B54" w:rsidRDefault="00837796" w:rsidP="00260B54">
      <w:pPr>
        <w:spacing w:line="360" w:lineRule="auto"/>
        <w:jc w:val="both"/>
        <w:rPr>
          <w:rFonts w:ascii="Verdana" w:hAnsi="Verdana" w:cs="Times New Roman"/>
          <w:sz w:val="20"/>
          <w:szCs w:val="20"/>
          <w:u w:val="single"/>
        </w:rPr>
      </w:pPr>
      <w:r w:rsidRPr="00260B54">
        <w:rPr>
          <w:rFonts w:ascii="Verdana" w:hAnsi="Verdana" w:cs="Times New Roman"/>
          <w:sz w:val="20"/>
          <w:szCs w:val="20"/>
          <w:u w:val="single"/>
        </w:rPr>
        <w:t>Beneficios de la actividad física en el adulto mayo</w:t>
      </w:r>
      <w:r w:rsidRPr="00664FF8">
        <w:rPr>
          <w:rFonts w:ascii="Verdana" w:hAnsi="Verdana" w:cs="Times New Roman"/>
          <w:sz w:val="20"/>
          <w:szCs w:val="20"/>
        </w:rPr>
        <w:t>r</w:t>
      </w:r>
      <w:r w:rsidR="002A4184">
        <w:rPr>
          <w:rFonts w:ascii="Verdana" w:hAnsi="Verdana" w:cs="Times New Roman"/>
          <w:sz w:val="20"/>
          <w:szCs w:val="20"/>
        </w:rPr>
        <w:t xml:space="preserve"> </w:t>
      </w:r>
      <w:r w:rsidRPr="00B6640F">
        <w:rPr>
          <w:rFonts w:ascii="Verdana" w:hAnsi="Verdana" w:cs="Times New Roman"/>
          <w:b/>
          <w:noProof/>
          <w:sz w:val="20"/>
          <w:szCs w:val="20"/>
          <w:vertAlign w:val="superscript"/>
        </w:rPr>
        <w:t>(Morejón-Márquez et al., 2018)</w:t>
      </w:r>
    </w:p>
    <w:p w:rsidR="00837796" w:rsidRPr="00260B54" w:rsidRDefault="00837796" w:rsidP="00260B54">
      <w:pPr>
        <w:spacing w:line="360" w:lineRule="auto"/>
        <w:jc w:val="both"/>
        <w:rPr>
          <w:rFonts w:ascii="Verdana" w:hAnsi="Verdana" w:cs="Times New Roman"/>
          <w:sz w:val="20"/>
          <w:szCs w:val="20"/>
          <w:u w:val="single"/>
        </w:rPr>
      </w:pPr>
      <w:r w:rsidRPr="00260B54">
        <w:rPr>
          <w:rFonts w:ascii="Verdana" w:hAnsi="Verdana" w:cs="Times New Roman"/>
          <w:sz w:val="20"/>
          <w:szCs w:val="20"/>
          <w:u w:val="single"/>
        </w:rPr>
        <w:t>Beneficios del equilibrio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las reacciones posturales en movimiento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Disminuye el riesgo de caídas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 postura estática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Incrementa la seguridad del anciano para realizar sus actividades de la vida diaria.</w:t>
      </w:r>
    </w:p>
    <w:p w:rsidR="00837796" w:rsidRPr="00260B54" w:rsidRDefault="00837796" w:rsidP="00260B54">
      <w:pPr>
        <w:spacing w:line="360" w:lineRule="auto"/>
        <w:jc w:val="both"/>
        <w:rPr>
          <w:rFonts w:ascii="Verdana" w:hAnsi="Verdana" w:cs="Times New Roman"/>
          <w:sz w:val="20"/>
          <w:szCs w:val="20"/>
          <w:u w:val="single"/>
        </w:rPr>
      </w:pPr>
      <w:r w:rsidRPr="00260B54">
        <w:rPr>
          <w:rFonts w:ascii="Verdana" w:hAnsi="Verdana" w:cs="Times New Roman"/>
          <w:sz w:val="20"/>
          <w:szCs w:val="20"/>
          <w:u w:val="single"/>
        </w:rPr>
        <w:t>Beneficios del estiramiento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Aumento de la flexibilidad</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lastRenderedPageBreak/>
        <w:t>• Mejora de la movilidad articular</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Proporciona mayor libertad de movimiento en las actividades de la vida diaria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Brinda un efecto relajante</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 Ayuda a la prevención de lesiones de tipo muscular, tendinosas o </w:t>
      </w:r>
      <w:proofErr w:type="spellStart"/>
      <w:r w:rsidRPr="00260B54">
        <w:rPr>
          <w:rFonts w:ascii="Verdana" w:hAnsi="Verdana" w:cs="Times New Roman"/>
          <w:sz w:val="20"/>
          <w:szCs w:val="20"/>
        </w:rPr>
        <w:t>ligamentarias</w:t>
      </w:r>
      <w:proofErr w:type="spellEnd"/>
    </w:p>
    <w:p w:rsidR="00837796" w:rsidRPr="00260B54" w:rsidRDefault="00837796" w:rsidP="00260B54">
      <w:pPr>
        <w:spacing w:line="360" w:lineRule="auto"/>
        <w:jc w:val="both"/>
        <w:rPr>
          <w:rFonts w:ascii="Verdana" w:hAnsi="Verdana" w:cs="Times New Roman"/>
          <w:sz w:val="20"/>
          <w:szCs w:val="20"/>
          <w:u w:val="single"/>
        </w:rPr>
      </w:pPr>
      <w:r w:rsidRPr="00260B54">
        <w:rPr>
          <w:rFonts w:ascii="Verdana" w:hAnsi="Verdana" w:cs="Times New Roman"/>
          <w:sz w:val="20"/>
          <w:szCs w:val="20"/>
          <w:u w:val="single"/>
        </w:rPr>
        <w:t>Beneficios del fortalecimiento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 velocidad de la marcha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el equilibrio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Aumenta el nivel de actividad física espontánea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Mantiene y/o aumenta la densidad ósea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Ayuda al control de la diabetes, artritis, enfermedades vasculares, etc.</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 digestión</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Disminuye la depresión</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Fortalece la musculatura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Previene las caídas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los reflejos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Mantiene el peso corporal</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 movilidad articular</w:t>
      </w:r>
    </w:p>
    <w:p w:rsidR="00837796" w:rsidRPr="00260B54" w:rsidRDefault="00837796" w:rsidP="00260B54">
      <w:pPr>
        <w:spacing w:line="360" w:lineRule="auto"/>
        <w:jc w:val="both"/>
        <w:rPr>
          <w:rFonts w:ascii="Verdana" w:hAnsi="Verdana" w:cs="Times New Roman"/>
          <w:sz w:val="20"/>
          <w:szCs w:val="20"/>
          <w:u w:val="single"/>
        </w:rPr>
      </w:pPr>
      <w:r w:rsidRPr="00260B54">
        <w:rPr>
          <w:rFonts w:ascii="Verdana" w:hAnsi="Verdana" w:cs="Times New Roman"/>
          <w:sz w:val="20"/>
          <w:szCs w:val="20"/>
          <w:u w:val="single"/>
        </w:rPr>
        <w:t>Beneficios del calentamiento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Incrementa la temperatura corporal</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Aumenta el ritmo cardiaco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Aumenta el volumen de sangre que llega a los tejidos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Incrementa el nivel metabólico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Incrementa el intercambio gaseoso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Incrementa la velocidad de transmisión del impulso nervioso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Facilita la recuperación muscular tras la contracción</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lastRenderedPageBreak/>
        <w:t>• Disminuye la tensión muscular</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Mejora la función articular y la lubricación de las mismas.</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Prepara psicológicamente al anciano para la práctica de alguna actividad física.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Es importante que el adulto mayor conozca qué tipos de actividades puede realizar durante la tercera edad. En general, pueden realizarse diversos tipos de ejercicios, pero teniendo cuidado con la intensidad con que se llevan a cabo y evitar posiciones permanentes, ya sea parado, sentado o acostado. Asimismo, es importante vigilar los ejercicios que involucren cabeza y tronco, y evitar ejercicios rápidos y movimientos bruscos, ya que éstos se asocian frecuentemente con lesiones, pues mientras mayor es la edad de la persona aumenta el riesgo de la descalcificación de sus huesos, teniendo como consecuencia mayor riesgo de lesión si no realiza ejercicio en la medida que sus condiciones lo permitan.</w:t>
      </w:r>
    </w:p>
    <w:p w:rsidR="00837796" w:rsidRPr="00B6640F" w:rsidRDefault="00837796" w:rsidP="00260B54">
      <w:pPr>
        <w:spacing w:line="360" w:lineRule="auto"/>
        <w:jc w:val="both"/>
        <w:rPr>
          <w:rFonts w:ascii="Verdana" w:hAnsi="Verdana" w:cs="Times New Roman"/>
          <w:b/>
          <w:sz w:val="20"/>
          <w:szCs w:val="20"/>
          <w:vertAlign w:val="superscript"/>
        </w:rPr>
      </w:pPr>
      <w:r w:rsidRPr="00260B54">
        <w:rPr>
          <w:rFonts w:ascii="Verdana" w:hAnsi="Verdana" w:cs="Times New Roman"/>
          <w:sz w:val="20"/>
          <w:szCs w:val="20"/>
        </w:rPr>
        <w:t>Las recomendaciones básicas para la prescripción del ejercicio (considerando tipo, intensidad, duración, frecuencia y progresión) son las siguientes</w:t>
      </w:r>
      <w:r w:rsidRPr="00B6640F">
        <w:rPr>
          <w:rFonts w:ascii="Verdana" w:hAnsi="Verdana" w:cs="Times New Roman"/>
          <w:b/>
          <w:sz w:val="20"/>
          <w:szCs w:val="20"/>
          <w:vertAlign w:val="superscript"/>
        </w:rPr>
        <w:t>:</w:t>
      </w:r>
      <w:r w:rsidRPr="00B6640F">
        <w:rPr>
          <w:rFonts w:ascii="Verdana" w:hAnsi="Verdana" w:cs="Times New Roman"/>
          <w:b/>
          <w:noProof/>
          <w:sz w:val="20"/>
          <w:szCs w:val="20"/>
          <w:vertAlign w:val="superscript"/>
        </w:rPr>
        <w:t>(Organización Panamericana de la Salud, 2006)</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Tipo de actividad. Cualquier actividad que requiera la participación de grandes grupos musculares, que pueda ser mantenida durante un periodo de tiempo más o menos prolongado, y de naturaleza rítmica y/o aeróbica. Algunos ejemplos son caminar o marchar, trotar (correr a paso lento), nadar, bicicleta estacionaria, o participar en diferentes juegos o deportes adaptados a su edad.</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Intensidad del ejercicio. Actividad física equivalente a 40 -60% del consumo máximo de oxígeno (VO 2 máx.), o a 40- 60% de la frecuencia cardiaca máxima. Cabe mencionar que un ejercicio de menor intensidad puede producir importantes beneficios para la salud, e incluso significar un incremento de la condición física en algunos individuos (por ejemplo, las personas sedentarias o en baja forma física).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Duración del ejercicio. De 5 a 30 minutos de actividad aeróbica continua o intermitente. En personas sedentarias, sesiones múltiples y de corta duración (5-10 minutos, aproximadamente).</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Frecuencia del ejercicio. De 3 a 5 días por semana.</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 xml:space="preserve">Ritmo de progresión. En la mayoría de los casos el efecto de –la mejoría de la condición física permite que los individuos incrementen la cantidad de trabajo total por sesión. En el trabajo continuo, puede llevarse a cabo incrementando la duración del ejercicio. Los efectos más significativos pueden observarse durante las primeras </w:t>
      </w:r>
      <w:r w:rsidRPr="00260B54">
        <w:rPr>
          <w:rFonts w:ascii="Verdana" w:hAnsi="Verdana" w:cs="Times New Roman"/>
          <w:sz w:val="20"/>
          <w:szCs w:val="20"/>
        </w:rPr>
        <w:lastRenderedPageBreak/>
        <w:t>6 a 8 semanas del programa. La prescripción de ejercicio puede ajustarse a la vez que se produce el efecto de acondicionamiento físico, y el ajuste dependerá de las características de cada persona y de los resultados de una prueba de esfuerzo y/o del rendimiento durante las sesiones de ejercicio.</w:t>
      </w:r>
    </w:p>
    <w:p w:rsidR="00837796" w:rsidRPr="00260B54" w:rsidRDefault="00837796" w:rsidP="00260B54">
      <w:pPr>
        <w:spacing w:line="360" w:lineRule="auto"/>
        <w:jc w:val="both"/>
        <w:rPr>
          <w:rFonts w:ascii="Verdana" w:hAnsi="Verdana" w:cs="Times New Roman"/>
          <w:sz w:val="20"/>
          <w:szCs w:val="20"/>
        </w:rPr>
      </w:pPr>
      <w:r w:rsidRPr="00260B54">
        <w:rPr>
          <w:rFonts w:ascii="Verdana" w:hAnsi="Verdana" w:cs="Times New Roman"/>
          <w:sz w:val="20"/>
          <w:szCs w:val="20"/>
        </w:rPr>
        <w:t>El objetivo fundamental de nuestra medicina es la prevención y promoción de salud, además de la rehabilitación para mejorar la calidad de vida de las afecciones crónicas. Es prioritario alcanzar un buen nivel de salud en la población de la tercera edad, porque tener una población con calidad de vida y una atención médica de excelencia, es pilar estratégico del sistema de salud cubano.</w:t>
      </w:r>
    </w:p>
    <w:p w:rsidR="00837796" w:rsidRPr="00260B54" w:rsidRDefault="00837796" w:rsidP="00260B54">
      <w:pPr>
        <w:spacing w:line="360" w:lineRule="auto"/>
        <w:jc w:val="both"/>
        <w:rPr>
          <w:rFonts w:ascii="Verdana" w:hAnsi="Verdana" w:cs="Times New Roman"/>
          <w:b/>
          <w:sz w:val="20"/>
          <w:szCs w:val="20"/>
        </w:rPr>
      </w:pPr>
      <w:r w:rsidRPr="00260B54">
        <w:rPr>
          <w:rFonts w:ascii="Verdana" w:hAnsi="Verdana" w:cs="Times New Roman"/>
          <w:b/>
          <w:sz w:val="20"/>
          <w:szCs w:val="20"/>
        </w:rPr>
        <w:t>Conclusiones</w:t>
      </w:r>
    </w:p>
    <w:p w:rsidR="00837796" w:rsidRDefault="00837796" w:rsidP="00886408">
      <w:pPr>
        <w:spacing w:line="360" w:lineRule="auto"/>
        <w:jc w:val="both"/>
        <w:rPr>
          <w:rFonts w:ascii="Verdana" w:hAnsi="Verdana" w:cs="Times New Roman"/>
          <w:sz w:val="20"/>
          <w:szCs w:val="20"/>
        </w:rPr>
      </w:pPr>
      <w:r w:rsidRPr="00260B54">
        <w:rPr>
          <w:rFonts w:ascii="Verdana" w:hAnsi="Verdana" w:cs="Times New Roman"/>
          <w:sz w:val="20"/>
          <w:szCs w:val="20"/>
        </w:rPr>
        <w:t>La actividad física terapéutica (sea preventiva, curativa, paliativa o recuperadora) es un acto profesional sanitario, que permite al individuo alcanzar la mayor capacidad funcional posible, para lograr su máxima autonomía, a los efectos de posibilitar su mayor integración a la sociedad.</w:t>
      </w:r>
    </w:p>
    <w:p w:rsidR="00B81734" w:rsidRPr="00B81734" w:rsidRDefault="00B81734" w:rsidP="00B81734">
      <w:pPr>
        <w:spacing w:after="0" w:line="360" w:lineRule="auto"/>
        <w:jc w:val="center"/>
        <w:rPr>
          <w:rFonts w:ascii="Verdana" w:hAnsi="Verdana"/>
          <w:b/>
          <w:noProof/>
          <w:sz w:val="20"/>
          <w:szCs w:val="20"/>
        </w:rPr>
      </w:pPr>
      <w:r w:rsidRPr="00B81734">
        <w:rPr>
          <w:rFonts w:ascii="Verdana" w:hAnsi="Verdana"/>
          <w:b/>
          <w:noProof/>
          <w:sz w:val="20"/>
          <w:szCs w:val="20"/>
        </w:rPr>
        <w:t>Referencias Bibliograficas</w:t>
      </w:r>
    </w:p>
    <w:p w:rsidR="00B81734" w:rsidRPr="00B81734" w:rsidRDefault="00B81734" w:rsidP="00B81734">
      <w:pPr>
        <w:spacing w:after="0" w:line="360" w:lineRule="auto"/>
        <w:jc w:val="center"/>
        <w:rPr>
          <w:rFonts w:ascii="Verdana" w:hAnsi="Verdana"/>
          <w:b/>
          <w:noProof/>
          <w:sz w:val="20"/>
          <w:szCs w:val="20"/>
        </w:rPr>
      </w:pPr>
    </w:p>
    <w:p w:rsidR="00B81734" w:rsidRPr="00B81734" w:rsidRDefault="00B81734" w:rsidP="00B81734">
      <w:pPr>
        <w:spacing w:after="0" w:line="360" w:lineRule="auto"/>
        <w:ind w:left="720" w:hanging="720"/>
        <w:jc w:val="both"/>
        <w:rPr>
          <w:rFonts w:ascii="Verdana" w:hAnsi="Verdana"/>
          <w:noProof/>
          <w:sz w:val="20"/>
          <w:szCs w:val="20"/>
          <w:lang w:val="en-US"/>
        </w:rPr>
      </w:pPr>
      <w:r w:rsidRPr="00B81734">
        <w:rPr>
          <w:rFonts w:ascii="Verdana" w:hAnsi="Verdana"/>
          <w:noProof/>
          <w:sz w:val="20"/>
          <w:szCs w:val="20"/>
        </w:rPr>
        <w:t xml:space="preserve">Andersen, J. L. (2003). </w:t>
      </w:r>
      <w:r w:rsidRPr="00B81734">
        <w:rPr>
          <w:rFonts w:ascii="Verdana" w:hAnsi="Verdana"/>
          <w:noProof/>
          <w:sz w:val="20"/>
          <w:szCs w:val="20"/>
          <w:lang w:val="en-US"/>
        </w:rPr>
        <w:t xml:space="preserve">Muscle fibre type adaptation in the elderly human muscle. </w:t>
      </w:r>
      <w:r w:rsidRPr="00B81734">
        <w:rPr>
          <w:rFonts w:ascii="Verdana" w:hAnsi="Verdana"/>
          <w:i/>
          <w:noProof/>
          <w:sz w:val="20"/>
          <w:szCs w:val="20"/>
          <w:lang w:val="en-US"/>
        </w:rPr>
        <w:t>Scand J Med Sci Sports, 13</w:t>
      </w:r>
      <w:r w:rsidRPr="00B81734">
        <w:rPr>
          <w:rFonts w:ascii="Verdana" w:hAnsi="Verdana"/>
          <w:noProof/>
          <w:sz w:val="20"/>
          <w:szCs w:val="20"/>
          <w:lang w:val="en-US"/>
        </w:rPr>
        <w:t xml:space="preserve">(1), 40-47.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Bosch, X., Alfonso, F., &amp; Bermejo, J. (2002). </w:t>
      </w:r>
      <w:r w:rsidRPr="00B81734">
        <w:rPr>
          <w:rFonts w:ascii="Verdana" w:hAnsi="Verdana"/>
          <w:noProof/>
          <w:sz w:val="20"/>
          <w:szCs w:val="20"/>
        </w:rPr>
        <w:t xml:space="preserve">Diabetes y enfermedad cardiovascular. Una mirada hacia la nueva epidemia del siglo XXI. </w:t>
      </w:r>
      <w:r w:rsidRPr="00B81734">
        <w:rPr>
          <w:rFonts w:ascii="Verdana" w:hAnsi="Verdana"/>
          <w:i/>
          <w:noProof/>
          <w:sz w:val="20"/>
          <w:szCs w:val="20"/>
        </w:rPr>
        <w:t>Revista Española de Cardiología, 55</w:t>
      </w:r>
      <w:r w:rsidRPr="00B81734">
        <w:rPr>
          <w:rFonts w:ascii="Verdana" w:hAnsi="Verdana"/>
          <w:noProof/>
          <w:sz w:val="20"/>
          <w:szCs w:val="20"/>
        </w:rPr>
        <w:t xml:space="preserve">(5), 525-527.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Brown, A. B., McCartney, N., &amp; Sale, D. G. (1990). </w:t>
      </w:r>
      <w:r w:rsidRPr="00B81734">
        <w:rPr>
          <w:rFonts w:ascii="Verdana" w:hAnsi="Verdana"/>
          <w:noProof/>
          <w:sz w:val="20"/>
          <w:szCs w:val="20"/>
          <w:lang w:val="en-US"/>
        </w:rPr>
        <w:t xml:space="preserve">Positive adaptations to weight-lifting training in the elderly. </w:t>
      </w:r>
      <w:r w:rsidRPr="00B81734">
        <w:rPr>
          <w:rFonts w:ascii="Verdana" w:hAnsi="Verdana"/>
          <w:i/>
          <w:noProof/>
          <w:sz w:val="20"/>
          <w:szCs w:val="20"/>
        </w:rPr>
        <w:t>J Appl Physiol, 69</w:t>
      </w:r>
      <w:r w:rsidRPr="00B81734">
        <w:rPr>
          <w:rFonts w:ascii="Verdana" w:hAnsi="Verdana"/>
          <w:noProof/>
          <w:sz w:val="20"/>
          <w:szCs w:val="20"/>
        </w:rPr>
        <w:t>(5), 1725-1733. doi:10.1152/jappl.1990.69.5.1725</w:t>
      </w:r>
    </w:p>
    <w:p w:rsidR="00B81734" w:rsidRDefault="00B81734" w:rsidP="00B81734">
      <w:pPr>
        <w:spacing w:after="0" w:line="360" w:lineRule="auto"/>
        <w:ind w:left="720" w:hanging="720"/>
        <w:jc w:val="both"/>
        <w:rPr>
          <w:rFonts w:ascii="Verdana" w:hAnsi="Verdana"/>
          <w:noProof/>
          <w:sz w:val="20"/>
          <w:szCs w:val="20"/>
          <w:u w:val="single"/>
        </w:rPr>
      </w:pPr>
      <w:r w:rsidRPr="00B81734">
        <w:rPr>
          <w:rFonts w:ascii="Verdana" w:hAnsi="Verdana"/>
          <w:noProof/>
          <w:sz w:val="20"/>
          <w:szCs w:val="20"/>
        </w:rPr>
        <w:t xml:space="preserve">Carbonell-González, L. (2018). Envejecimiento poblacional en Cuba y sus retos. Retrieved from </w:t>
      </w:r>
      <w:hyperlink r:id="rId5" w:history="1">
        <w:r w:rsidRPr="00B81734">
          <w:rPr>
            <w:rStyle w:val="Hipervnculo"/>
            <w:rFonts w:ascii="Verdana" w:hAnsi="Verdana"/>
            <w:noProof/>
            <w:sz w:val="20"/>
            <w:szCs w:val="20"/>
          </w:rPr>
          <w:t>http://www.radiorebelde.cu/autor/</w:t>
        </w:r>
      </w:hyperlink>
    </w:p>
    <w:p w:rsidR="00B81734" w:rsidRPr="00B81734" w:rsidRDefault="00B81734" w:rsidP="00B81734">
      <w:pPr>
        <w:spacing w:after="0" w:line="360" w:lineRule="auto"/>
        <w:ind w:left="720" w:hanging="720"/>
        <w:jc w:val="both"/>
        <w:rPr>
          <w:rFonts w:ascii="Verdana" w:hAnsi="Verdana"/>
          <w:noProof/>
          <w:sz w:val="20"/>
          <w:szCs w:val="20"/>
          <w:lang w:val="en-US"/>
        </w:rPr>
      </w:pPr>
      <w:r w:rsidRPr="00B81734">
        <w:rPr>
          <w:rFonts w:ascii="Verdana" w:hAnsi="Verdana"/>
          <w:noProof/>
          <w:sz w:val="20"/>
          <w:szCs w:val="20"/>
        </w:rPr>
        <w:t xml:space="preserve">Devís, J. (2000). </w:t>
      </w:r>
      <w:r w:rsidRPr="00B81734">
        <w:rPr>
          <w:rFonts w:ascii="Verdana" w:hAnsi="Verdana"/>
          <w:i/>
          <w:noProof/>
          <w:sz w:val="20"/>
          <w:szCs w:val="20"/>
        </w:rPr>
        <w:t>Actividad física, deporte y salud</w:t>
      </w:r>
      <w:r w:rsidRPr="00B81734">
        <w:rPr>
          <w:rFonts w:ascii="Verdana" w:hAnsi="Verdana"/>
          <w:noProof/>
          <w:sz w:val="20"/>
          <w:szCs w:val="20"/>
        </w:rPr>
        <w:t xml:space="preserve">. </w:t>
      </w:r>
      <w:r w:rsidRPr="00B81734">
        <w:rPr>
          <w:rFonts w:ascii="Verdana" w:hAnsi="Verdana"/>
          <w:noProof/>
          <w:sz w:val="20"/>
          <w:szCs w:val="20"/>
          <w:lang w:val="en-US"/>
        </w:rPr>
        <w:t>Barcelona: Editorial Inde.</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Driver, J. A., Smith, A., Buring, J. E., Gaziano, J. M., Kurth, T., &amp; Logroscino, G. (2008). Prospective cohort study of type 2 diabetes and the risk of Parkinson's disease. </w:t>
      </w:r>
      <w:r w:rsidRPr="00B81734">
        <w:rPr>
          <w:rFonts w:ascii="Verdana" w:hAnsi="Verdana"/>
          <w:i/>
          <w:noProof/>
          <w:sz w:val="20"/>
          <w:szCs w:val="20"/>
        </w:rPr>
        <w:t>Diabetes care, 31</w:t>
      </w:r>
      <w:r w:rsidRPr="00B81734">
        <w:rPr>
          <w:rFonts w:ascii="Verdana" w:hAnsi="Verdana"/>
          <w:noProof/>
          <w:sz w:val="20"/>
          <w:szCs w:val="20"/>
        </w:rPr>
        <w:t xml:space="preserve">(10), 2003-2005.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Escobar-Alfonso, V., Zaldivar-Garit, M., Rodríguez de la Rosa, G., &amp; Cabrera-Cordovés, J. C. (2014). Factores de riesgos prevalentes en pacientes ingresados por enfermedad cerebrovascular.</w:t>
      </w:r>
      <w:r w:rsidRPr="00B81734">
        <w:rPr>
          <w:rFonts w:ascii="Verdana" w:hAnsi="Verdana"/>
          <w:i/>
          <w:noProof/>
          <w:sz w:val="20"/>
          <w:szCs w:val="20"/>
        </w:rPr>
        <w:t xml:space="preserve"> Revista Cubana de Medicina Militar, 43</w:t>
      </w:r>
      <w:r w:rsidRPr="00B81734">
        <w:rPr>
          <w:rFonts w:ascii="Verdana" w:hAnsi="Verdana"/>
          <w:noProof/>
          <w:sz w:val="20"/>
          <w:szCs w:val="20"/>
        </w:rPr>
        <w:t xml:space="preserve">(4), 433-440. </w:t>
      </w:r>
    </w:p>
    <w:p w:rsidR="00B81734" w:rsidRPr="00B81734" w:rsidRDefault="00B81734" w:rsidP="00B81734">
      <w:pPr>
        <w:spacing w:after="0" w:line="360" w:lineRule="auto"/>
        <w:ind w:left="720" w:hanging="720"/>
        <w:jc w:val="both"/>
        <w:rPr>
          <w:rFonts w:ascii="Verdana" w:hAnsi="Verdana"/>
          <w:noProof/>
          <w:sz w:val="20"/>
          <w:szCs w:val="20"/>
          <w:lang w:val="en-US"/>
        </w:rPr>
      </w:pPr>
      <w:r w:rsidRPr="00B81734">
        <w:rPr>
          <w:rFonts w:ascii="Verdana" w:hAnsi="Verdana"/>
          <w:noProof/>
          <w:sz w:val="20"/>
          <w:szCs w:val="20"/>
        </w:rPr>
        <w:lastRenderedPageBreak/>
        <w:t xml:space="preserve">Gauvin, L., Wall, A. E., &amp; Quinney, H. A. (1994). </w:t>
      </w:r>
      <w:r w:rsidRPr="00B81734">
        <w:rPr>
          <w:rFonts w:ascii="Verdana" w:hAnsi="Verdana"/>
          <w:noProof/>
          <w:sz w:val="20"/>
          <w:szCs w:val="20"/>
          <w:lang w:val="en-US"/>
        </w:rPr>
        <w:t xml:space="preserve">Physical activity, fitness and health: reserarch and practice. In H. A. Quinney &amp; L. Gauvin (Eds.), </w:t>
      </w:r>
      <w:r w:rsidRPr="00B81734">
        <w:rPr>
          <w:rFonts w:ascii="Verdana" w:hAnsi="Verdana"/>
          <w:i/>
          <w:noProof/>
          <w:sz w:val="20"/>
          <w:szCs w:val="20"/>
          <w:lang w:val="en-US"/>
        </w:rPr>
        <w:t>Toward activie living</w:t>
      </w:r>
      <w:r w:rsidRPr="00B81734">
        <w:rPr>
          <w:rFonts w:ascii="Verdana" w:hAnsi="Verdana"/>
          <w:noProof/>
          <w:sz w:val="20"/>
          <w:szCs w:val="20"/>
          <w:lang w:val="en-US"/>
        </w:rPr>
        <w:t xml:space="preserve"> (pp. 1-5): Champaign: Human Kinetics.</w:t>
      </w:r>
    </w:p>
    <w:p w:rsidR="00B81734" w:rsidRDefault="00B81734" w:rsidP="00B81734">
      <w:pPr>
        <w:spacing w:after="0" w:line="360" w:lineRule="auto"/>
        <w:ind w:left="720" w:hanging="720"/>
        <w:jc w:val="both"/>
        <w:rPr>
          <w:rFonts w:ascii="Verdana" w:hAnsi="Verdana"/>
          <w:noProof/>
          <w:sz w:val="20"/>
          <w:szCs w:val="20"/>
          <w:u w:val="single"/>
        </w:rPr>
      </w:pPr>
      <w:r w:rsidRPr="00B81734">
        <w:rPr>
          <w:rFonts w:ascii="Verdana" w:hAnsi="Verdana"/>
          <w:noProof/>
          <w:sz w:val="20"/>
          <w:szCs w:val="20"/>
        </w:rPr>
        <w:t xml:space="preserve">González-Rodríguez, R. (2015). Las caídas en el hogar del adulto mayor: un reto para la sociedad cubana. </w:t>
      </w:r>
      <w:r w:rsidRPr="00B81734">
        <w:rPr>
          <w:rFonts w:ascii="Verdana" w:hAnsi="Verdana"/>
          <w:i/>
          <w:noProof/>
          <w:sz w:val="20"/>
          <w:szCs w:val="20"/>
        </w:rPr>
        <w:t>31</w:t>
      </w:r>
      <w:r w:rsidRPr="00B81734">
        <w:rPr>
          <w:rFonts w:ascii="Verdana" w:hAnsi="Verdana"/>
          <w:noProof/>
          <w:sz w:val="20"/>
          <w:szCs w:val="20"/>
        </w:rPr>
        <w:t xml:space="preserve">(2). </w:t>
      </w:r>
      <w:hyperlink r:id="rId6" w:history="1">
        <w:r w:rsidRPr="00B81734">
          <w:rPr>
            <w:rStyle w:val="Hipervnculo"/>
            <w:rFonts w:ascii="Verdana" w:hAnsi="Verdana"/>
            <w:noProof/>
            <w:sz w:val="20"/>
            <w:szCs w:val="20"/>
          </w:rPr>
          <w:t>http://scielo.sld.cu/scielo.php?script=sci_arttext&amp;pid=S0864-21252015000200001&amp;lng=es</w:t>
        </w:r>
      </w:hyperlink>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González, A., &amp; Campillo, R. (2007). Morbimortalidad por enfermedad cerebrovascular de tipo isquémica. </w:t>
      </w:r>
      <w:r w:rsidRPr="00B81734">
        <w:rPr>
          <w:rFonts w:ascii="Verdana" w:hAnsi="Verdana"/>
          <w:i/>
          <w:noProof/>
          <w:sz w:val="20"/>
          <w:szCs w:val="20"/>
        </w:rPr>
        <w:t>Rev cubana med gen integr, 23</w:t>
      </w:r>
      <w:r w:rsidRPr="00B81734">
        <w:rPr>
          <w:rFonts w:ascii="Verdana" w:hAnsi="Verdana"/>
          <w:noProof/>
          <w:sz w:val="20"/>
          <w:szCs w:val="20"/>
        </w:rPr>
        <w:t xml:space="preserve">(4), 27-30.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J., M., Guevara, A., Arcia, N., León-Díaz, E. M., Marín, C., &amp; Alfonso, J. C. (2005). Enfermedades crónicas y limitación funcional en adultos mayores: estudio comparativo en siete ciudades de América Latina y el Caribe. . </w:t>
      </w:r>
      <w:r w:rsidRPr="00B81734">
        <w:rPr>
          <w:rFonts w:ascii="Verdana" w:hAnsi="Verdana"/>
          <w:i/>
          <w:noProof/>
          <w:sz w:val="20"/>
          <w:szCs w:val="20"/>
        </w:rPr>
        <w:t>Rev Panam Salud Publica, 17</w:t>
      </w:r>
      <w:r w:rsidRPr="00B81734">
        <w:rPr>
          <w:rFonts w:ascii="Verdana" w:hAnsi="Verdana"/>
          <w:noProof/>
          <w:sz w:val="20"/>
          <w:szCs w:val="20"/>
        </w:rPr>
        <w:t xml:space="preserve">((5/6)), 353-361.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Martín, L., Peña, E. L., &amp; Gutiérrez, C. J. (2017). Fenómenos on-off de conducta en la enfermedad de Parkinson. </w:t>
      </w:r>
      <w:r w:rsidRPr="00B81734">
        <w:rPr>
          <w:rFonts w:ascii="Verdana" w:hAnsi="Verdana"/>
          <w:i/>
          <w:noProof/>
          <w:sz w:val="20"/>
          <w:szCs w:val="20"/>
        </w:rPr>
        <w:t>Psiquiatr. Biológica, 24</w:t>
      </w:r>
      <w:r w:rsidRPr="00B81734">
        <w:rPr>
          <w:rFonts w:ascii="Verdana" w:hAnsi="Verdana"/>
          <w:noProof/>
          <w:sz w:val="20"/>
          <w:szCs w:val="20"/>
        </w:rPr>
        <w:t xml:space="preserve">, 36-41. </w:t>
      </w:r>
    </w:p>
    <w:p w:rsidR="00B81734" w:rsidRPr="0000199B" w:rsidRDefault="00B81734" w:rsidP="00B81734">
      <w:pPr>
        <w:spacing w:after="0" w:line="360" w:lineRule="auto"/>
        <w:ind w:left="720" w:hanging="720"/>
        <w:jc w:val="both"/>
        <w:rPr>
          <w:rFonts w:ascii="Verdana" w:hAnsi="Verdana"/>
          <w:noProof/>
          <w:sz w:val="20"/>
          <w:szCs w:val="20"/>
          <w:u w:val="single"/>
        </w:rPr>
      </w:pPr>
      <w:r w:rsidRPr="00B81734">
        <w:rPr>
          <w:rFonts w:ascii="Verdana" w:hAnsi="Verdana"/>
          <w:noProof/>
          <w:sz w:val="20"/>
          <w:szCs w:val="20"/>
        </w:rPr>
        <w:t xml:space="preserve">Mendis, S., Armstrong, T., Bettcher, D., &amp; "et al.". (2014). Informe sobre la situación mundial de las enfermedades no transmisibles 2014. Cumplimiento de las nueve metas mundiales relativas a las enfermedades no transmisibles: una responsabilidad compartida. Organización Mundial de la Salud;. </w:t>
      </w:r>
      <w:r w:rsidRPr="0000199B">
        <w:rPr>
          <w:rFonts w:ascii="Verdana" w:hAnsi="Verdana"/>
          <w:noProof/>
          <w:sz w:val="20"/>
          <w:szCs w:val="20"/>
        </w:rPr>
        <w:t xml:space="preserve">Retrieved from </w:t>
      </w:r>
      <w:hyperlink r:id="rId7" w:history="1">
        <w:r w:rsidRPr="0000199B">
          <w:rPr>
            <w:rStyle w:val="Hipervnculo"/>
            <w:rFonts w:ascii="Verdana" w:hAnsi="Verdana"/>
            <w:noProof/>
            <w:sz w:val="20"/>
            <w:szCs w:val="20"/>
          </w:rPr>
          <w:t>https://apps.who.int/iris/bitstream/handle/10665/149296/WHO_NMH_NVI_15.1_spa.pdf;jsessionid=04BB1555B52A6A414C3C4E656BD2EBD3?sequence=1</w:t>
        </w:r>
      </w:hyperlink>
    </w:p>
    <w:p w:rsidR="00B81734" w:rsidRDefault="00B81734" w:rsidP="00B81734">
      <w:pPr>
        <w:spacing w:after="0" w:line="360" w:lineRule="auto"/>
        <w:ind w:left="720" w:hanging="720"/>
        <w:jc w:val="both"/>
        <w:rPr>
          <w:rFonts w:ascii="Verdana" w:hAnsi="Verdana"/>
          <w:noProof/>
          <w:sz w:val="20"/>
          <w:szCs w:val="20"/>
          <w:u w:val="single"/>
          <w:lang w:val="en-US"/>
        </w:rPr>
      </w:pPr>
      <w:r w:rsidRPr="00B81734">
        <w:rPr>
          <w:rFonts w:ascii="Verdana" w:hAnsi="Verdana"/>
          <w:noProof/>
          <w:sz w:val="20"/>
          <w:szCs w:val="20"/>
        </w:rPr>
        <w:t xml:space="preserve">Ministerio de Sanidad, S. S. e. I. (2016). Estrategia en Enfermedades Neurodegenerativas del Sistema Nacional de Salud. </w:t>
      </w:r>
      <w:r w:rsidRPr="00B81734">
        <w:rPr>
          <w:rFonts w:ascii="Verdana" w:hAnsi="Verdana"/>
          <w:noProof/>
          <w:sz w:val="20"/>
          <w:szCs w:val="20"/>
          <w:lang w:val="en-US"/>
        </w:rPr>
        <w:t xml:space="preserve">Sanidad 2016. Retrieved from </w:t>
      </w:r>
      <w:hyperlink r:id="rId8" w:history="1">
        <w:r w:rsidRPr="00B81734">
          <w:rPr>
            <w:rStyle w:val="Hipervnculo"/>
            <w:rFonts w:ascii="Verdana" w:hAnsi="Verdana"/>
            <w:noProof/>
            <w:sz w:val="20"/>
            <w:szCs w:val="20"/>
            <w:lang w:val="en-US"/>
          </w:rPr>
          <w:t>http://www.fundaciondelcerebro.es/docs/imp_sociosanitario_enf_neuro_es.pdf</w:t>
        </w:r>
      </w:hyperlink>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Morejón-Márquez, M., Hernández-Gory, A., Pujol-Machín, A., &amp; Falcon-Díaz, M. (2018). Postura y equilibrio en el adulto mayor. Su interrelación con ciencia, tecnología y sociedad. </w:t>
      </w:r>
      <w:r w:rsidRPr="00B81734">
        <w:rPr>
          <w:rFonts w:ascii="Verdana" w:hAnsi="Verdana"/>
          <w:i/>
          <w:noProof/>
          <w:sz w:val="20"/>
          <w:szCs w:val="20"/>
        </w:rPr>
        <w:t>Revista Cubana de Medicina Física y Rehabilitación, 10</w:t>
      </w:r>
      <w:r w:rsidRPr="00B81734">
        <w:rPr>
          <w:rFonts w:ascii="Verdana" w:hAnsi="Verdana"/>
          <w:noProof/>
          <w:sz w:val="20"/>
          <w:szCs w:val="20"/>
        </w:rPr>
        <w:t xml:space="preserve">(1), 134-145.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Ng, A., Chander, R., Tan, L., &amp; Kandiah, N. (2015). </w:t>
      </w:r>
      <w:r w:rsidRPr="00B81734">
        <w:rPr>
          <w:rFonts w:ascii="Verdana" w:hAnsi="Verdana"/>
          <w:noProof/>
          <w:sz w:val="20"/>
          <w:szCs w:val="20"/>
          <w:lang w:val="en-US"/>
        </w:rPr>
        <w:t xml:space="preserve">Influence of depression in mild Parkinson's disease on longitudinal motor and cognitive function. </w:t>
      </w:r>
      <w:r w:rsidRPr="00B81734">
        <w:rPr>
          <w:rFonts w:ascii="Verdana" w:hAnsi="Verdana"/>
          <w:i/>
          <w:noProof/>
          <w:sz w:val="20"/>
          <w:szCs w:val="20"/>
        </w:rPr>
        <w:t>Parkinsonism related disorders, 21</w:t>
      </w:r>
      <w:r w:rsidRPr="00B81734">
        <w:rPr>
          <w:rFonts w:ascii="Verdana" w:hAnsi="Verdana"/>
          <w:noProof/>
          <w:sz w:val="20"/>
          <w:szCs w:val="20"/>
        </w:rPr>
        <w:t xml:space="preserve">(9), 1056-1060.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lastRenderedPageBreak/>
        <w:t xml:space="preserve">Noa-Pelier, B. Y., Vila-García, J. M., &amp; de la Torre -Chávez, Y. (2019). La actividad física en la promoción para la salud: garantía de un envejecimiento saludable. . </w:t>
      </w:r>
      <w:r w:rsidRPr="00B81734">
        <w:rPr>
          <w:rFonts w:ascii="Verdana" w:hAnsi="Verdana"/>
          <w:i/>
          <w:noProof/>
          <w:sz w:val="20"/>
          <w:szCs w:val="20"/>
        </w:rPr>
        <w:t>Invest. Medicoquir, 11</w:t>
      </w:r>
      <w:r w:rsidRPr="00B81734">
        <w:rPr>
          <w:rFonts w:ascii="Verdana" w:hAnsi="Verdana"/>
          <w:noProof/>
          <w:sz w:val="20"/>
          <w:szCs w:val="20"/>
        </w:rPr>
        <w:t xml:space="preserve">(Supl. 1). </w:t>
      </w:r>
    </w:p>
    <w:p w:rsidR="00B81734" w:rsidRPr="0000199B" w:rsidRDefault="00B81734" w:rsidP="00B81734">
      <w:pPr>
        <w:spacing w:after="0" w:line="360" w:lineRule="auto"/>
        <w:ind w:left="720" w:hanging="720"/>
        <w:jc w:val="both"/>
        <w:rPr>
          <w:rFonts w:ascii="Verdana" w:hAnsi="Verdana"/>
          <w:noProof/>
          <w:sz w:val="20"/>
          <w:szCs w:val="20"/>
          <w:u w:val="single"/>
        </w:rPr>
      </w:pPr>
      <w:r w:rsidRPr="00B81734">
        <w:rPr>
          <w:rFonts w:ascii="Verdana" w:hAnsi="Verdana"/>
          <w:noProof/>
          <w:sz w:val="20"/>
          <w:szCs w:val="20"/>
        </w:rPr>
        <w:t xml:space="preserve">Organización Mundial de la Salud. (2017). Enfermedades no transmisibles. Nota Descriptiva. Junio 2017. </w:t>
      </w:r>
      <w:r w:rsidRPr="0000199B">
        <w:rPr>
          <w:rFonts w:ascii="Verdana" w:hAnsi="Verdana"/>
          <w:noProof/>
          <w:sz w:val="20"/>
          <w:szCs w:val="20"/>
        </w:rPr>
        <w:t xml:space="preserve">Retrieved from </w:t>
      </w:r>
      <w:hyperlink r:id="rId9" w:history="1">
        <w:r w:rsidRPr="0000199B">
          <w:rPr>
            <w:rStyle w:val="Hipervnculo"/>
            <w:rFonts w:ascii="Verdana" w:hAnsi="Verdana"/>
            <w:noProof/>
            <w:sz w:val="20"/>
            <w:szCs w:val="20"/>
          </w:rPr>
          <w:t>http://www.who.int/mediacentre/factsheets/fs355/es/Acceso6jul2017</w:t>
        </w:r>
      </w:hyperlink>
    </w:p>
    <w:p w:rsidR="00B81734" w:rsidRDefault="00B81734" w:rsidP="00B81734">
      <w:pPr>
        <w:spacing w:after="0" w:line="360" w:lineRule="auto"/>
        <w:ind w:left="720" w:hanging="720"/>
        <w:jc w:val="both"/>
        <w:rPr>
          <w:rFonts w:ascii="Verdana" w:hAnsi="Verdana"/>
          <w:noProof/>
          <w:sz w:val="20"/>
          <w:szCs w:val="20"/>
          <w:u w:val="single"/>
          <w:lang w:val="en-US"/>
        </w:rPr>
      </w:pPr>
      <w:r w:rsidRPr="00B81734">
        <w:rPr>
          <w:rFonts w:ascii="Verdana" w:hAnsi="Verdana"/>
          <w:noProof/>
          <w:sz w:val="20"/>
          <w:szCs w:val="20"/>
        </w:rPr>
        <w:t xml:space="preserve">Organización Panamericana de la Salud. (2006). Mantenerse en forma para la vida: necesidades nutricionales de los adultos mayores. </w:t>
      </w:r>
      <w:r w:rsidRPr="00B81734">
        <w:rPr>
          <w:rFonts w:ascii="Verdana" w:hAnsi="Verdana"/>
          <w:noProof/>
          <w:sz w:val="20"/>
          <w:szCs w:val="20"/>
          <w:lang w:val="en-US"/>
        </w:rPr>
        <w:t xml:space="preserve">Retrieved from </w:t>
      </w:r>
      <w:hyperlink r:id="rId10" w:history="1">
        <w:r w:rsidRPr="00B81734">
          <w:rPr>
            <w:rStyle w:val="Hipervnculo"/>
            <w:rFonts w:ascii="Verdana" w:hAnsi="Verdana"/>
            <w:noProof/>
            <w:sz w:val="20"/>
            <w:szCs w:val="20"/>
            <w:lang w:val="en-US"/>
          </w:rPr>
          <w:t>https://www.paho.org</w:t>
        </w:r>
      </w:hyperlink>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Pate, R. (1988). The envolving definition of physical fitness. . </w:t>
      </w:r>
      <w:r w:rsidRPr="00B81734">
        <w:rPr>
          <w:rFonts w:ascii="Verdana" w:hAnsi="Verdana"/>
          <w:i/>
          <w:noProof/>
          <w:sz w:val="20"/>
          <w:szCs w:val="20"/>
        </w:rPr>
        <w:t xml:space="preserve">Quest, 40 </w:t>
      </w:r>
      <w:r w:rsidRPr="00B81734">
        <w:rPr>
          <w:rFonts w:ascii="Verdana" w:hAnsi="Verdana"/>
          <w:noProof/>
          <w:sz w:val="20"/>
          <w:szCs w:val="20"/>
        </w:rPr>
        <w:t xml:space="preserve">174-179.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Pérez, F. (2017). Enfermedad de Parkinson y Diabetes. </w:t>
      </w:r>
      <w:r w:rsidRPr="00B81734">
        <w:rPr>
          <w:rFonts w:ascii="Verdana" w:hAnsi="Verdana"/>
          <w:i/>
          <w:noProof/>
          <w:sz w:val="20"/>
          <w:szCs w:val="20"/>
        </w:rPr>
        <w:t>Rev. chil. endocrinol. diabetes, 10</w:t>
      </w:r>
      <w:r w:rsidRPr="00B81734">
        <w:rPr>
          <w:rFonts w:ascii="Verdana" w:hAnsi="Verdana"/>
          <w:noProof/>
          <w:sz w:val="20"/>
          <w:szCs w:val="20"/>
        </w:rPr>
        <w:t xml:space="preserve">(3), 83. </w:t>
      </w:r>
    </w:p>
    <w:p w:rsidR="00B81734" w:rsidRPr="0000199B"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Pfeiffer, R. F. (2016). Non-motor symptoms in Parkinson's disease. </w:t>
      </w:r>
      <w:r w:rsidRPr="0000199B">
        <w:rPr>
          <w:rFonts w:ascii="Verdana" w:hAnsi="Verdana"/>
          <w:i/>
          <w:noProof/>
          <w:sz w:val="20"/>
          <w:szCs w:val="20"/>
        </w:rPr>
        <w:t>Parkinsonism related disorders, 22</w:t>
      </w:r>
      <w:r w:rsidRPr="0000199B">
        <w:rPr>
          <w:rFonts w:ascii="Verdana" w:hAnsi="Verdana"/>
          <w:noProof/>
          <w:sz w:val="20"/>
          <w:szCs w:val="20"/>
        </w:rPr>
        <w:t xml:space="preserve">, S119-S122. </w:t>
      </w:r>
    </w:p>
    <w:p w:rsidR="00B81734" w:rsidRPr="00B81734" w:rsidRDefault="00B81734" w:rsidP="00B81734">
      <w:pPr>
        <w:spacing w:after="0" w:line="360" w:lineRule="auto"/>
        <w:ind w:left="720" w:hanging="720"/>
        <w:jc w:val="both"/>
        <w:rPr>
          <w:rFonts w:ascii="Verdana" w:hAnsi="Verdana"/>
          <w:noProof/>
          <w:sz w:val="20"/>
          <w:szCs w:val="20"/>
          <w:lang w:val="en-US"/>
        </w:rPr>
      </w:pPr>
      <w:r w:rsidRPr="00B81734">
        <w:rPr>
          <w:rFonts w:ascii="Verdana" w:hAnsi="Verdana"/>
          <w:noProof/>
          <w:sz w:val="20"/>
          <w:szCs w:val="20"/>
        </w:rPr>
        <w:t xml:space="preserve">Piloto-González, R., Herrera-Miranda, G. L., Ramos-Aguila, Y., Mujica-González, D. B., &amp; Gutiérrez-Pérez, M.-. (2015). Caracterización clínica-epidemiológica de la enfermedad cerebrovascular en el adulto mayor. </w:t>
      </w:r>
      <w:r w:rsidRPr="00B81734">
        <w:rPr>
          <w:rFonts w:ascii="Verdana" w:hAnsi="Verdana"/>
          <w:i/>
          <w:noProof/>
          <w:sz w:val="20"/>
          <w:szCs w:val="20"/>
          <w:lang w:val="en-US"/>
        </w:rPr>
        <w:t>Revista de Ciencias Médicas de Pinar del Río, 19</w:t>
      </w:r>
      <w:r w:rsidRPr="00B81734">
        <w:rPr>
          <w:rFonts w:ascii="Verdana" w:hAnsi="Verdana"/>
          <w:noProof/>
          <w:sz w:val="20"/>
          <w:szCs w:val="20"/>
          <w:lang w:val="en-US"/>
        </w:rPr>
        <w:t xml:space="preserve">(6), 0-0.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President´s Council on Physical Fitness and Sports. (1971). Physical Fitness Research. </w:t>
      </w:r>
      <w:r w:rsidRPr="00B81734">
        <w:rPr>
          <w:rFonts w:ascii="Verdana" w:hAnsi="Verdana"/>
          <w:i/>
          <w:noProof/>
          <w:sz w:val="20"/>
          <w:szCs w:val="20"/>
        </w:rPr>
        <w:t>Digest., 1</w:t>
      </w:r>
      <w:r w:rsidRPr="00B81734">
        <w:rPr>
          <w:rFonts w:ascii="Verdana" w:hAnsi="Verdana"/>
          <w:noProof/>
          <w:sz w:val="20"/>
          <w:szCs w:val="20"/>
        </w:rPr>
        <w:t xml:space="preserve">. </w:t>
      </w:r>
    </w:p>
    <w:p w:rsidR="00B81734" w:rsidRPr="0000199B" w:rsidRDefault="00B81734" w:rsidP="00B81734">
      <w:pPr>
        <w:spacing w:after="0" w:line="360" w:lineRule="auto"/>
        <w:ind w:left="720" w:hanging="720"/>
        <w:jc w:val="both"/>
        <w:rPr>
          <w:rFonts w:ascii="Verdana" w:hAnsi="Verdana"/>
          <w:noProof/>
          <w:sz w:val="20"/>
          <w:szCs w:val="20"/>
          <w:u w:val="single"/>
        </w:rPr>
      </w:pPr>
      <w:r w:rsidRPr="00B81734">
        <w:rPr>
          <w:rFonts w:ascii="Verdana" w:hAnsi="Verdana"/>
          <w:noProof/>
          <w:sz w:val="20"/>
          <w:szCs w:val="20"/>
        </w:rPr>
        <w:t xml:space="preserve">Red de grupos de estudio de la diabetes. (2015). </w:t>
      </w:r>
      <w:r w:rsidRPr="0000199B">
        <w:rPr>
          <w:rFonts w:ascii="Verdana" w:hAnsi="Verdana"/>
          <w:noProof/>
          <w:sz w:val="20"/>
          <w:szCs w:val="20"/>
        </w:rPr>
        <w:t xml:space="preserve">Retrieved from </w:t>
      </w:r>
      <w:hyperlink r:id="rId11" w:history="1">
        <w:r w:rsidRPr="0000199B">
          <w:rPr>
            <w:rStyle w:val="Hipervnculo"/>
            <w:rFonts w:ascii="Verdana" w:hAnsi="Verdana"/>
            <w:noProof/>
            <w:sz w:val="20"/>
            <w:szCs w:val="20"/>
          </w:rPr>
          <w:t>http://www.redgdps.org/</w:t>
        </w:r>
      </w:hyperlink>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Romano-Martín, F., Nissen-María, D., Del Huerto Paredes, N. M., &amp; Parquet, C. A. (2007). Enfermedad de Alzheimer. </w:t>
      </w:r>
      <w:r w:rsidRPr="00B81734">
        <w:rPr>
          <w:rFonts w:ascii="Verdana" w:hAnsi="Verdana"/>
          <w:i/>
          <w:noProof/>
          <w:sz w:val="20"/>
          <w:szCs w:val="20"/>
        </w:rPr>
        <w:t>Rev. de posgrado de la VIa Cátedra de Medicina., 175</w:t>
      </w:r>
      <w:r w:rsidRPr="00B81734">
        <w:rPr>
          <w:rFonts w:ascii="Verdana" w:hAnsi="Verdana"/>
          <w:noProof/>
          <w:sz w:val="20"/>
          <w:szCs w:val="20"/>
        </w:rPr>
        <w:t xml:space="preserve">(9-12 ).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Sáez-Francàs, N., Andrés, G. M., Ramírez, N., De Fabregues, O., Álvarez-Sabín, J., Casas, M., &amp; Hernández-Vara, J. (2016). Factores clínicos y psicopatológicos asociados a los trastornos del control de impulsos en la enfermedad de Parkinson. </w:t>
      </w:r>
      <w:r w:rsidRPr="00B81734">
        <w:rPr>
          <w:rFonts w:ascii="Verdana" w:hAnsi="Verdana"/>
          <w:i/>
          <w:noProof/>
          <w:sz w:val="20"/>
          <w:szCs w:val="20"/>
        </w:rPr>
        <w:t>Neurología, 31</w:t>
      </w:r>
      <w:r w:rsidRPr="00B81734">
        <w:rPr>
          <w:rFonts w:ascii="Verdana" w:hAnsi="Verdana"/>
          <w:noProof/>
          <w:sz w:val="20"/>
          <w:szCs w:val="20"/>
        </w:rPr>
        <w:t xml:space="preserve">(4), 231-238.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t xml:space="preserve">Sequeira Quesada, C. M., &amp; Casares Fallas, D. A. (2018). La hipertensión arterial supina en pacientes con desórdenes autonómicos: revisión anatómica y conceptual. </w:t>
      </w:r>
      <w:r w:rsidRPr="00B81734">
        <w:rPr>
          <w:rFonts w:ascii="Verdana" w:hAnsi="Verdana"/>
          <w:i/>
          <w:noProof/>
          <w:sz w:val="20"/>
          <w:szCs w:val="20"/>
        </w:rPr>
        <w:t>Revista Clínica de la Escuela de Medicina de la Universidad de Costa Rica, 8</w:t>
      </w:r>
      <w:r w:rsidRPr="00B81734">
        <w:rPr>
          <w:rFonts w:ascii="Verdana" w:hAnsi="Verdana"/>
          <w:noProof/>
          <w:sz w:val="20"/>
          <w:szCs w:val="20"/>
        </w:rPr>
        <w:t xml:space="preserve">(2), 11-20. </w:t>
      </w:r>
    </w:p>
    <w:p w:rsidR="00B81734" w:rsidRPr="00B81734" w:rsidRDefault="00B81734" w:rsidP="00B81734">
      <w:pPr>
        <w:spacing w:after="0" w:line="360" w:lineRule="auto"/>
        <w:ind w:left="720" w:hanging="720"/>
        <w:jc w:val="both"/>
        <w:rPr>
          <w:rFonts w:ascii="Verdana" w:hAnsi="Verdana"/>
          <w:noProof/>
          <w:sz w:val="20"/>
          <w:szCs w:val="20"/>
          <w:lang w:val="en-US"/>
        </w:rPr>
      </w:pPr>
      <w:r w:rsidRPr="00B81734">
        <w:rPr>
          <w:rFonts w:ascii="Verdana" w:hAnsi="Verdana"/>
          <w:noProof/>
          <w:sz w:val="20"/>
          <w:szCs w:val="20"/>
        </w:rPr>
        <w:t xml:space="preserve">Serra Valdés, M., Serra Ruíz, M., &amp; Viera García, M. (2018). Las enfermedades crónicas no transmisibles: magnitud actual y tendencias futuras. </w:t>
      </w:r>
      <w:r w:rsidRPr="00B81734">
        <w:rPr>
          <w:rFonts w:ascii="Verdana" w:hAnsi="Verdana"/>
          <w:i/>
          <w:noProof/>
          <w:sz w:val="20"/>
          <w:szCs w:val="20"/>
          <w:lang w:val="en-US"/>
        </w:rPr>
        <w:t>Revista Finlay, 8</w:t>
      </w:r>
      <w:r w:rsidRPr="00B81734">
        <w:rPr>
          <w:rFonts w:ascii="Verdana" w:hAnsi="Verdana"/>
          <w:noProof/>
          <w:sz w:val="20"/>
          <w:szCs w:val="20"/>
          <w:lang w:val="en-US"/>
        </w:rPr>
        <w:t xml:space="preserve">(2), 140-148.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Shephard, R. (1995). Physical activity, fitness, and health: The current consensus. </w:t>
      </w:r>
      <w:r w:rsidRPr="00B81734">
        <w:rPr>
          <w:rFonts w:ascii="Verdana" w:hAnsi="Verdana"/>
          <w:i/>
          <w:noProof/>
          <w:sz w:val="20"/>
          <w:szCs w:val="20"/>
        </w:rPr>
        <w:t>Quest, 47</w:t>
      </w:r>
      <w:r w:rsidRPr="00B81734">
        <w:rPr>
          <w:rFonts w:ascii="Verdana" w:hAnsi="Verdana"/>
          <w:noProof/>
          <w:sz w:val="20"/>
          <w:szCs w:val="20"/>
        </w:rPr>
        <w:t xml:space="preserve">(3), 288-303. </w:t>
      </w:r>
    </w:p>
    <w:p w:rsidR="00B81734" w:rsidRPr="00B81734" w:rsidRDefault="00B81734" w:rsidP="00B81734">
      <w:pPr>
        <w:spacing w:after="0" w:line="360" w:lineRule="auto"/>
        <w:ind w:left="720" w:hanging="720"/>
        <w:jc w:val="both"/>
        <w:rPr>
          <w:rFonts w:ascii="Verdana" w:hAnsi="Verdana"/>
          <w:noProof/>
          <w:sz w:val="20"/>
          <w:szCs w:val="20"/>
        </w:rPr>
      </w:pPr>
      <w:r w:rsidRPr="00B81734">
        <w:rPr>
          <w:rFonts w:ascii="Verdana" w:hAnsi="Verdana"/>
          <w:noProof/>
          <w:sz w:val="20"/>
          <w:szCs w:val="20"/>
        </w:rPr>
        <w:lastRenderedPageBreak/>
        <w:t xml:space="preserve">Vásquez-Celaya, L., Tamariz-Rodríguez, A., Gutiérrez-Pérez, R., &amp; Márquez, M. (2019). Enfermedad de Parkinson más allá de lo motor. </w:t>
      </w:r>
      <w:r w:rsidRPr="00B81734">
        <w:rPr>
          <w:rFonts w:ascii="Verdana" w:hAnsi="Verdana"/>
          <w:i/>
          <w:noProof/>
          <w:sz w:val="20"/>
          <w:szCs w:val="20"/>
        </w:rPr>
        <w:t>Revista de Neurobiología, 10</w:t>
      </w:r>
      <w:r w:rsidRPr="00B81734">
        <w:rPr>
          <w:rFonts w:ascii="Verdana" w:hAnsi="Verdana"/>
          <w:noProof/>
          <w:sz w:val="20"/>
          <w:szCs w:val="20"/>
        </w:rPr>
        <w:t xml:space="preserve">(23). </w:t>
      </w:r>
    </w:p>
    <w:p w:rsidR="00B81734" w:rsidRPr="0000199B" w:rsidRDefault="00B81734" w:rsidP="00B81734">
      <w:pPr>
        <w:spacing w:line="360" w:lineRule="auto"/>
        <w:ind w:left="720" w:hanging="720"/>
        <w:jc w:val="both"/>
        <w:rPr>
          <w:rFonts w:ascii="Verdana" w:hAnsi="Verdana"/>
          <w:noProof/>
          <w:sz w:val="20"/>
          <w:szCs w:val="20"/>
        </w:rPr>
      </w:pPr>
      <w:r w:rsidRPr="00B81734">
        <w:rPr>
          <w:rFonts w:ascii="Verdana" w:hAnsi="Verdana"/>
          <w:noProof/>
          <w:sz w:val="20"/>
          <w:szCs w:val="20"/>
          <w:lang w:val="en-US"/>
        </w:rPr>
        <w:t xml:space="preserve">Yang, Y.-W., Hsieh, T.-F., Li, C.-I., Liu, C.-S., Lin, W.-Y., Chiang, J.-H., . . . Lin, C.-C. (2017). Increased risk of Parkinson disease with diabetes mellitus in a population-based study. </w:t>
      </w:r>
      <w:r w:rsidRPr="0000199B">
        <w:rPr>
          <w:rFonts w:ascii="Verdana" w:hAnsi="Verdana"/>
          <w:i/>
          <w:noProof/>
          <w:sz w:val="20"/>
          <w:szCs w:val="20"/>
        </w:rPr>
        <w:t>Medicine, 96</w:t>
      </w:r>
      <w:r w:rsidRPr="0000199B">
        <w:rPr>
          <w:rFonts w:ascii="Verdana" w:hAnsi="Verdana"/>
          <w:noProof/>
          <w:sz w:val="20"/>
          <w:szCs w:val="20"/>
        </w:rPr>
        <w:t xml:space="preserve">(3). </w:t>
      </w:r>
    </w:p>
    <w:p w:rsidR="00B81734" w:rsidRDefault="00B81734" w:rsidP="00260B54">
      <w:pPr>
        <w:pStyle w:val="Prrafodelista"/>
        <w:spacing w:line="360" w:lineRule="auto"/>
        <w:jc w:val="both"/>
        <w:rPr>
          <w:rFonts w:ascii="Verdana" w:hAnsi="Verdana" w:cs="Times New Roman"/>
          <w:b/>
          <w:sz w:val="20"/>
          <w:szCs w:val="20"/>
        </w:rPr>
      </w:pPr>
    </w:p>
    <w:p w:rsidR="00837796" w:rsidRPr="00844293" w:rsidRDefault="00837796" w:rsidP="00844293">
      <w:pPr>
        <w:spacing w:line="360" w:lineRule="auto"/>
        <w:jc w:val="both"/>
        <w:rPr>
          <w:rFonts w:ascii="Verdana" w:hAnsi="Verdana" w:cs="Times New Roman"/>
          <w:b/>
          <w:sz w:val="20"/>
          <w:szCs w:val="20"/>
        </w:rPr>
      </w:pPr>
      <w:r w:rsidRPr="00844293">
        <w:rPr>
          <w:rFonts w:ascii="Verdana" w:hAnsi="Verdana" w:cs="Times New Roman"/>
          <w:b/>
          <w:sz w:val="20"/>
          <w:szCs w:val="20"/>
        </w:rPr>
        <w:t>Conflicto de intereses</w:t>
      </w:r>
    </w:p>
    <w:p w:rsidR="00837796" w:rsidRPr="00844293" w:rsidRDefault="00837796" w:rsidP="00844293">
      <w:pPr>
        <w:spacing w:line="360" w:lineRule="auto"/>
        <w:jc w:val="both"/>
        <w:rPr>
          <w:rFonts w:ascii="Verdana" w:hAnsi="Verdana" w:cs="Times New Roman"/>
          <w:sz w:val="20"/>
          <w:szCs w:val="20"/>
        </w:rPr>
      </w:pPr>
      <w:r w:rsidRPr="00844293">
        <w:rPr>
          <w:rFonts w:ascii="Verdana" w:hAnsi="Verdana" w:cs="Times New Roman"/>
          <w:sz w:val="20"/>
          <w:szCs w:val="20"/>
        </w:rPr>
        <w:t>Los autores de este trabajo declaran no presentar conflicto de intereses.</w:t>
      </w:r>
    </w:p>
    <w:p w:rsidR="00837796" w:rsidRPr="00844293" w:rsidRDefault="00837796" w:rsidP="00844293">
      <w:pPr>
        <w:spacing w:line="360" w:lineRule="auto"/>
        <w:jc w:val="both"/>
        <w:rPr>
          <w:rFonts w:ascii="Verdana" w:hAnsi="Verdana" w:cs="Times New Roman"/>
          <w:b/>
          <w:sz w:val="20"/>
          <w:szCs w:val="20"/>
        </w:rPr>
      </w:pPr>
      <w:r w:rsidRPr="00844293">
        <w:rPr>
          <w:rFonts w:ascii="Verdana" w:hAnsi="Verdana" w:cs="Times New Roman"/>
          <w:b/>
          <w:sz w:val="20"/>
          <w:szCs w:val="20"/>
        </w:rPr>
        <w:t>Listado de contribución de autoría</w:t>
      </w:r>
    </w:p>
    <w:p w:rsidR="00837796" w:rsidRPr="00844293" w:rsidRDefault="00837796" w:rsidP="00844293">
      <w:pPr>
        <w:spacing w:line="360" w:lineRule="auto"/>
        <w:jc w:val="both"/>
        <w:rPr>
          <w:rFonts w:ascii="Verdana" w:hAnsi="Verdana" w:cs="Times New Roman"/>
          <w:sz w:val="20"/>
          <w:szCs w:val="20"/>
        </w:rPr>
      </w:pPr>
      <w:r w:rsidRPr="00844293">
        <w:rPr>
          <w:rFonts w:ascii="Verdana" w:hAnsi="Verdana" w:cs="Times New Roman"/>
          <w:sz w:val="20"/>
          <w:szCs w:val="20"/>
        </w:rPr>
        <w:t>Bárbara Yumila</w:t>
      </w:r>
      <w:r w:rsidR="002A4184">
        <w:rPr>
          <w:rFonts w:ascii="Verdana" w:hAnsi="Verdana" w:cs="Times New Roman"/>
          <w:sz w:val="20"/>
          <w:szCs w:val="20"/>
        </w:rPr>
        <w:t xml:space="preserve"> </w:t>
      </w:r>
      <w:r w:rsidRPr="00844293">
        <w:rPr>
          <w:rFonts w:ascii="Verdana" w:hAnsi="Verdana" w:cs="Times New Roman"/>
          <w:sz w:val="20"/>
          <w:szCs w:val="20"/>
        </w:rPr>
        <w:t>Noa</w:t>
      </w:r>
      <w:r w:rsidR="002A4184">
        <w:rPr>
          <w:rFonts w:ascii="Verdana" w:hAnsi="Verdana" w:cs="Times New Roman"/>
          <w:sz w:val="20"/>
          <w:szCs w:val="20"/>
        </w:rPr>
        <w:t xml:space="preserve"> </w:t>
      </w:r>
      <w:r w:rsidRPr="00844293">
        <w:rPr>
          <w:rFonts w:ascii="Verdana" w:hAnsi="Verdana" w:cs="Times New Roman"/>
          <w:sz w:val="20"/>
          <w:szCs w:val="20"/>
        </w:rPr>
        <w:t>Pelier: realizó búsqueda bibliográfica, confeccionó estructura del trabajo de revisión, confección final</w:t>
      </w:r>
      <w:bookmarkStart w:id="0" w:name="_GoBack"/>
      <w:bookmarkEnd w:id="0"/>
      <w:r w:rsidRPr="00844293">
        <w:rPr>
          <w:rFonts w:ascii="Verdana" w:hAnsi="Verdana" w:cs="Times New Roman"/>
          <w:sz w:val="20"/>
          <w:szCs w:val="20"/>
        </w:rPr>
        <w:t xml:space="preserve"> del artículo, traducción al inglés.</w:t>
      </w:r>
    </w:p>
    <w:p w:rsidR="00837796" w:rsidRPr="00844293" w:rsidRDefault="00837796" w:rsidP="00844293">
      <w:pPr>
        <w:spacing w:line="360" w:lineRule="auto"/>
        <w:jc w:val="both"/>
        <w:rPr>
          <w:rFonts w:ascii="Verdana" w:hAnsi="Verdana" w:cs="Times New Roman"/>
          <w:sz w:val="20"/>
          <w:szCs w:val="20"/>
        </w:rPr>
      </w:pPr>
      <w:r w:rsidRPr="00844293">
        <w:rPr>
          <w:rFonts w:ascii="Verdana" w:hAnsi="Verdana" w:cs="Times New Roman"/>
          <w:sz w:val="20"/>
          <w:szCs w:val="20"/>
        </w:rPr>
        <w:t>Jorge Lázaro Coll Costa: realizó búsqueda bibliográfica, acotó bibliografía, revisión final del manuscrito.</w:t>
      </w:r>
    </w:p>
    <w:p w:rsidR="00837796" w:rsidRPr="00B81734" w:rsidRDefault="00837796" w:rsidP="00260B54">
      <w:pPr>
        <w:pStyle w:val="Prrafodelista"/>
        <w:spacing w:line="360" w:lineRule="auto"/>
        <w:jc w:val="both"/>
        <w:rPr>
          <w:rFonts w:ascii="Verdana" w:hAnsi="Verdana" w:cs="Times New Roman"/>
          <w:sz w:val="20"/>
          <w:szCs w:val="20"/>
        </w:rPr>
      </w:pPr>
    </w:p>
    <w:p w:rsidR="00837796" w:rsidRPr="00B81734" w:rsidRDefault="00837796" w:rsidP="00260B54">
      <w:pPr>
        <w:pStyle w:val="Prrafodelista"/>
        <w:spacing w:line="360" w:lineRule="auto"/>
        <w:jc w:val="both"/>
        <w:rPr>
          <w:rFonts w:ascii="Verdana" w:hAnsi="Verdana" w:cs="Times New Roman"/>
          <w:sz w:val="20"/>
          <w:szCs w:val="20"/>
        </w:rPr>
      </w:pPr>
    </w:p>
    <w:sectPr w:rsidR="00837796" w:rsidRPr="00B81734" w:rsidSect="00C63DA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150A"/>
    <w:multiLevelType w:val="hybridMultilevel"/>
    <w:tmpl w:val="9886E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65651C"/>
    <w:multiLevelType w:val="hybridMultilevel"/>
    <w:tmpl w:val="47D4F7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926624"/>
    <w:multiLevelType w:val="hybridMultilevel"/>
    <w:tmpl w:val="D074A2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BA1164"/>
    <w:multiLevelType w:val="hybridMultilevel"/>
    <w:tmpl w:val="5B94B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Suspended&gt;1&lt;/Suspended&gt;&lt;/ENInstantFormat&gt;"/>
  </w:docVars>
  <w:rsids>
    <w:rsidRoot w:val="00837796"/>
    <w:rsid w:val="0000199B"/>
    <w:rsid w:val="002A4184"/>
    <w:rsid w:val="0034304F"/>
    <w:rsid w:val="005A1F9C"/>
    <w:rsid w:val="00837796"/>
    <w:rsid w:val="00844293"/>
    <w:rsid w:val="00B6640F"/>
    <w:rsid w:val="00B81734"/>
    <w:rsid w:val="00D159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9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7796"/>
    <w:pPr>
      <w:ind w:left="720"/>
      <w:contextualSpacing/>
    </w:pPr>
  </w:style>
  <w:style w:type="character" w:styleId="Hipervnculo">
    <w:name w:val="Hyperlink"/>
    <w:basedOn w:val="Fuentedeprrafopredeter"/>
    <w:uiPriority w:val="99"/>
    <w:unhideWhenUsed/>
    <w:rsid w:val="00837796"/>
    <w:rPr>
      <w:color w:val="0563C1" w:themeColor="hyperlink"/>
      <w:u w:val="single"/>
    </w:rPr>
  </w:style>
  <w:style w:type="paragraph" w:customStyle="1" w:styleId="EndNoteBibliographyTitle">
    <w:name w:val="EndNote Bibliography Title"/>
    <w:basedOn w:val="Normal"/>
    <w:link w:val="EndNoteBibliographyTitleCar"/>
    <w:rsid w:val="00837796"/>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837796"/>
    <w:rPr>
      <w:rFonts w:ascii="Calibri" w:hAnsi="Calibri"/>
      <w:noProof/>
      <w:lang w:val="en-US"/>
    </w:rPr>
  </w:style>
  <w:style w:type="paragraph" w:customStyle="1" w:styleId="EndNoteBibliography">
    <w:name w:val="EndNote Bibliography"/>
    <w:basedOn w:val="Normal"/>
    <w:link w:val="EndNoteBibliographyCar"/>
    <w:rsid w:val="00837796"/>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837796"/>
    <w:rPr>
      <w:rFonts w:ascii="Calibri" w:hAnsi="Calibri"/>
      <w:noProof/>
      <w:lang w:val="en-US"/>
    </w:rPr>
  </w:style>
  <w:style w:type="character" w:customStyle="1" w:styleId="UnresolvedMention">
    <w:name w:val="Unresolved Mention"/>
    <w:basedOn w:val="Fuentedeprrafopredeter"/>
    <w:uiPriority w:val="99"/>
    <w:semiHidden/>
    <w:unhideWhenUsed/>
    <w:rsid w:val="008377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delcerebro.es/docs/imp_sociosanitario_enf_neuro_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who.int/iris/bitstream/handle/10665/149296/WHO_NMH_NVI_15.1_spa.pdf;jsessionid=04BB1555B52A6A414C3C4E656BD2EBD3?sequence=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lo.sld.cu/scielo.php?script=sci_arttext&amp;pid=S0864-21252015000200001&amp;lng=es" TargetMode="External"/><Relationship Id="rId11" Type="http://schemas.openxmlformats.org/officeDocument/2006/relationships/hyperlink" Target="http://www.redgdps.org/" TargetMode="External"/><Relationship Id="rId5" Type="http://schemas.openxmlformats.org/officeDocument/2006/relationships/hyperlink" Target="http://www.radiorebelde.cu/autor/" TargetMode="External"/><Relationship Id="rId10" Type="http://schemas.openxmlformats.org/officeDocument/2006/relationships/hyperlink" Target="https://www.paho.org" TargetMode="External"/><Relationship Id="rId4" Type="http://schemas.openxmlformats.org/officeDocument/2006/relationships/webSettings" Target="webSettings.xml"/><Relationship Id="rId9" Type="http://schemas.openxmlformats.org/officeDocument/2006/relationships/hyperlink" Target="http://www.who.int/mediacentre/factsheets/fs355/es/Acceso6jul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6543</Words>
  <Characters>35991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leis</cp:lastModifiedBy>
  <cp:revision>7</cp:revision>
  <dcterms:created xsi:type="dcterms:W3CDTF">2020-02-21T21:50:00Z</dcterms:created>
  <dcterms:modified xsi:type="dcterms:W3CDTF">2020-02-24T13:48:00Z</dcterms:modified>
</cp:coreProperties>
</file>